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01_Brand_Book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93a1b077f5407349104cedc1ba740df041b5e49"/>
      <w:r>
        <w:t xml:space="preserve">HISN — BRAND BOOK</w:t>
      </w:r>
    </w:p>
    <w:p>
      <w:pPr>
        <w:pStyle w:val="FirstParagraph"/>
      </w:pPr>
      <w:r>
        <w:rPr>
          <w:b/>
          <w:bCs/>
        </w:rPr>
        <w:t xml:space="preserve">Version:</w:t>
      </w:r>
      <w:r>
        <w:t xml:space="preserve"> </w:t>
      </w:r>
      <w:r>
        <w:t xml:space="preserve">1.0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— Investor &amp; Partner Review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86c3e2016aa3d2509569a9ffd01a8b459d95228"/>
      <w:r>
        <w:t xml:space="preserve">1. Brand Essence</w:t>
      </w:r>
    </w:p>
    <w:p>
      <w:pPr>
        <w:pStyle w:val="FirstParagraph"/>
      </w:pPr>
      <w:r>
        <w:rPr>
          <w:b/>
          <w:bCs/>
        </w:rPr>
        <w:t xml:space="preserve">HISN</w:t>
      </w:r>
      <w:r>
        <w:t xml:space="preserve"> </w:t>
      </w:r>
      <w:r>
        <w:t xml:space="preserve">(حِصن) means</w:t>
      </w:r>
      <w:r>
        <w:t xml:space="preserve"> </w:t>
      </w:r>
      <w:r>
        <w:t xml:space="preserve">“fortress”</w:t>
      </w:r>
      <w:r>
        <w:t xml:space="preserve"> </w:t>
      </w:r>
      <w:r>
        <w:t xml:space="preserve">or</w:t>
      </w:r>
      <w:r>
        <w:t xml:space="preserve"> </w:t>
      </w:r>
      <w:r>
        <w:t xml:space="preserve">“impregnable stronghold”</w:t>
      </w:r>
      <w:r>
        <w:t xml:space="preserve"> </w:t>
      </w:r>
      <w:r>
        <w:t xml:space="preserve">in Arabic.</w:t>
      </w:r>
    </w:p>
    <w:p>
      <w:pPr>
        <w:pStyle w:val="BodyText"/>
      </w:pPr>
      <w:r>
        <w:t xml:space="preserve">The name reflects the company’s purpose: to be the trusted, immovable infrastructure that protects financial institutions from financial crime.</w:t>
      </w:r>
    </w:p>
    <w:p>
      <w:pPr>
        <w:pStyle w:val="BodyText"/>
      </w:pPr>
      <w:r>
        <w:rPr>
          <w:b/>
          <w:bCs/>
        </w:rPr>
        <w:t xml:space="preserve">Tagline:</w:t>
      </w:r>
      <w:r>
        <w:t xml:space="preserve"> </w:t>
      </w:r>
      <w:r>
        <w:rPr>
          <w:i/>
          <w:iCs/>
        </w:rPr>
        <w:t xml:space="preserve">Where Trust Begins.</w:t>
      </w:r>
    </w:p>
    <w:p>
      <w:pPr>
        <w:pStyle w:val="Heading2"/>
      </w:pPr>
      <w:bookmarkStart w:id="11" w:name="_38aa3555ef264db6486dd457fa62ce728576966"/>
      <w:r>
        <w:t xml:space="preserve">2. Brand Identity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Name</w:t>
            </w:r>
          </w:p>
        </w:tc>
        <w:tc>
          <w:tcPr/>
          <w:p>
            <w:pPr>
              <w:pStyle w:val="Compact"/>
            </w:pPr>
            <w:r>
              <w:t xml:space="preserve">HISN 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Trading Name</w:t>
            </w:r>
          </w:p>
        </w:tc>
        <w:tc>
          <w:tcPr/>
          <w:p>
            <w:pPr>
              <w:pStyle w:val="Compact"/>
            </w:pPr>
            <w:r>
              <w:t xml:space="preserve">HISN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Arabic Name</w:t>
            </w:r>
          </w:p>
        </w:tc>
        <w:tc>
          <w:tcPr/>
          <w:p>
            <w:pPr>
              <w:pStyle w:val="Compact"/>
            </w:pPr>
            <w:r>
              <w:t xml:space="preserve">حِصن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Financial Crime Decision Operating System (FCDOS)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Positioning</w:t>
            </w:r>
          </w:p>
        </w:tc>
        <w:tc>
          <w:tcPr/>
          <w:p>
            <w:pPr>
              <w:pStyle w:val="Compact"/>
            </w:pPr>
            <w:r>
              <w:t xml:space="preserve">Enterprise RegTech Infrastructure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Mohamed Abdo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Founded</w:t>
            </w:r>
          </w:p>
        </w:tc>
        <w:tc>
          <w:tcPr/>
          <w:p>
            <w:pPr>
              <w:pStyle w:val="Compact"/>
            </w:pPr>
            <w:r>
              <w:t xml:space="preserve">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HQ</w:t>
            </w:r>
          </w:p>
        </w:tc>
        <w:tc>
          <w:tcPr/>
          <w:p>
            <w:pPr>
              <w:pStyle w:val="Compact"/>
            </w:pPr>
            <w:r>
              <w:t xml:space="preserve">Riyadh, Saudi Arabia</w:t>
            </w:r>
          </w:p>
        </w:tc>
      </w:tr>
    </w:tbl>
    <w:p>
      <w:pPr>
        <w:pStyle w:val="Heading2"/>
      </w:pPr>
      <w:bookmarkStart w:id="12" w:name="_vision"/>
      <w:r>
        <w:t xml:space="preserve">3. Vision</w:t>
      </w:r>
    </w:p>
    <w:p>
      <w:pPr>
        <w:pStyle w:val="BlockText"/>
      </w:pPr>
      <w:r>
        <w:t xml:space="preserve">To become the trusted decision infrastructure for financial crime compliance across the Kingdom of Saudi Arabia and the GCC, enabling every regulated institution to make explainable, auditable, and defensible decisions.</w:t>
      </w:r>
    </w:p>
    <w:p>
      <w:pPr>
        <w:pStyle w:val="Heading2"/>
      </w:pPr>
      <w:bookmarkStart w:id="13" w:name="_mission"/>
      <w:r>
        <w:t xml:space="preserve">4. Mission</w:t>
      </w:r>
    </w:p>
    <w:p>
      <w:pPr>
        <w:pStyle w:val="BlockText"/>
      </w:pPr>
      <w:r>
        <w:t xml:space="preserve">To unify fragmented financial crime signals into a single governed decision lifecycle, giving compliance officers, executives, and regulators the evidence they need to trust every decision.</w:t>
      </w:r>
    </w:p>
    <w:p>
      <w:pPr>
        <w:pStyle w:val="Heading2"/>
      </w:pPr>
      <w:bookmarkStart w:id="14" w:name="_values"/>
      <w:r>
        <w:t xml:space="preserve">5. Values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We build decisions that can be defended.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Transparency</w:t>
            </w:r>
          </w:p>
        </w:tc>
        <w:tc>
          <w:tcPr/>
          <w:p>
            <w:pPr>
              <w:pStyle w:val="Compact"/>
            </w:pPr>
            <w:r>
              <w:t xml:space="preserve">No black boxes. Every decision has evidence.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Rigor</w:t>
            </w:r>
          </w:p>
        </w:tc>
        <w:tc>
          <w:tcPr/>
          <w:p>
            <w:pPr>
              <w:pStyle w:val="Compact"/>
            </w:pPr>
            <w:r>
              <w:t xml:space="preserve">Institutional-grade engineering, not shortcuts.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Local-First</w:t>
            </w:r>
          </w:p>
        </w:tc>
        <w:tc>
          <w:tcPr/>
          <w:p>
            <w:pPr>
              <w:pStyle w:val="Compact"/>
            </w:pPr>
            <w:r>
              <w:t xml:space="preserve">Built for Saudi Arabia, designed for the GCC.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Customer Obsession</w:t>
            </w:r>
          </w:p>
        </w:tc>
        <w:tc>
          <w:tcPr/>
          <w:p>
            <w:pPr>
              <w:pStyle w:val="Compact"/>
            </w:pPr>
            <w:r>
              <w:t xml:space="preserve">Success is measured by customer outcomes.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Innovation</w:t>
            </w:r>
          </w:p>
        </w:tc>
        <w:tc>
          <w:tcPr/>
          <w:p>
            <w:pPr>
              <w:pStyle w:val="Compact"/>
            </w:pPr>
            <w:r>
              <w:t xml:space="preserve">Advance financial crime technology responsibly.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Discipline</w:t>
            </w:r>
          </w:p>
        </w:tc>
        <w:tc>
          <w:tcPr/>
          <w:p>
            <w:pPr>
              <w:pStyle w:val="Compact"/>
            </w:pPr>
            <w:r>
              <w:t xml:space="preserve">Every milestone is evidence-backed.</w:t>
            </w:r>
          </w:p>
        </w:tc>
      </w:tr>
    </w:tbl>
    <w:p>
      <w:pPr>
        <w:pStyle w:val="Heading2"/>
      </w:pPr>
      <w:bookmarkStart w:id="15" w:name="_2b92de224ef281833fabd621b37f52d1060239e"/>
      <w:r>
        <w:t xml:space="preserve">6. Brand Personality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Trait</w:t>
            </w:r>
          </w:p>
        </w:tc>
        <w:tc>
          <w:tcPr/>
          <w:p>
            <w:pPr>
              <w:pStyle w:val="Compact"/>
            </w:pPr>
            <w:r>
              <w:t xml:space="preserve">Expression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</w:pPr>
            <w:r>
              <w:t xml:space="preserve">Enterprise-grade, Big Four standards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Trustworthy</w:t>
            </w:r>
          </w:p>
        </w:tc>
        <w:tc>
          <w:tcPr/>
          <w:p>
            <w:pPr>
              <w:pStyle w:val="Compact"/>
            </w:pPr>
            <w:r>
              <w:t xml:space="preserve">Audit-grade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Innovative</w:t>
            </w:r>
          </w:p>
        </w:tc>
        <w:tc>
          <w:tcPr/>
          <w:p>
            <w:pPr>
              <w:pStyle w:val="Compact"/>
            </w:pPr>
            <w:r>
              <w:t xml:space="preserve">Decision-centric 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Saudi-first, Arabic-native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Ambitious</w:t>
            </w:r>
          </w:p>
        </w:tc>
        <w:tc>
          <w:tcPr/>
          <w:p>
            <w:pPr>
              <w:pStyle w:val="Compact"/>
            </w:pPr>
            <w:r>
              <w:t xml:space="preserve">Global ambition, regional focus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Serious</w:t>
            </w:r>
          </w:p>
        </w:tc>
        <w:tc>
          <w:tcPr/>
          <w:p>
            <w:pPr>
              <w:pStyle w:val="Compact"/>
            </w:pPr>
            <w:r>
              <w:t xml:space="preserve">Financial-grade rigor</w:t>
            </w:r>
          </w:p>
        </w:tc>
      </w:tr>
    </w:tbl>
    <w:p>
      <w:pPr>
        <w:pStyle w:val="Heading2"/>
      </w:pPr>
      <w:bookmarkStart w:id="16" w:name="_logo"/>
      <w:r>
        <w:t xml:space="preserve">7. Logo</w:t>
      </w:r>
    </w:p>
    <w:p>
      <w:pPr>
        <w:pStyle w:val="FirstParagraph"/>
      </w:pPr>
      <w:r>
        <w:rPr>
          <w:b/>
          <w:bCs/>
        </w:rPr>
        <w:t xml:space="preserve">Primary Logo:</w:t>
      </w:r>
      <w:r>
        <w:t xml:space="preserve"> </w:t>
      </w:r>
      <w:r>
        <w:t xml:space="preserve">HISN wordmark with shield icon.</w:t>
      </w:r>
    </w:p>
    <w:p>
      <w:pPr>
        <w:pStyle w:val="BodyText"/>
      </w:pPr>
      <w:r>
        <w:rPr>
          <w:b/>
          <w:bCs/>
        </w:rPr>
        <w:t xml:space="preserve">Variants:</w:t>
      </w:r>
      <w:r>
        <w:t xml:space="preserve"> </w:t>
      </w:r>
      <w:r>
        <w:t xml:space="preserve">- Primary (dark text)</w:t>
      </w:r>
      <w:r>
        <w:t xml:space="preserve"> </w:t>
      </w:r>
      <w:r>
        <w:t xml:space="preserve">- Inverse (white text)</w:t>
      </w:r>
      <w:r>
        <w:t xml:space="preserve"> </w:t>
      </w:r>
      <w:r>
        <w:t xml:space="preserve">- Icon only</w:t>
      </w:r>
      <w:r>
        <w:t xml:space="preserve"> </w:t>
      </w:r>
      <w:r>
        <w:t xml:space="preserve">- Arabic version (حِصن)</w:t>
      </w:r>
    </w:p>
    <w:p>
      <w:pPr>
        <w:pStyle w:val="BodyText"/>
      </w:pPr>
      <w:r>
        <w:rPr>
          <w:b/>
          <w:bCs/>
        </w:rPr>
        <w:t xml:space="preserve">Usage:</w:t>
      </w:r>
      <w:r>
        <w:t xml:space="preserve"> </w:t>
      </w:r>
      <w:r>
        <w:t xml:space="preserve">- Minimum size: 24px</w:t>
      </w:r>
      <w:r>
        <w:t xml:space="preserve"> </w:t>
      </w:r>
      <w:r>
        <w:t xml:space="preserve">- Clear space: 1x logo height</w:t>
      </w:r>
      <w:r>
        <w:t xml:space="preserve"> </w:t>
      </w:r>
      <w:r>
        <w:t xml:space="preserve">- Never stretch, rotate, or add effects</w:t>
      </w:r>
    </w:p>
    <w:p>
      <w:pPr>
        <w:pStyle w:val="Heading2"/>
      </w:pPr>
      <w:bookmarkStart w:id="17" w:name="_b5dc1b98713c4c0fcade9c9790f5229430890e2"/>
      <w:r>
        <w:t xml:space="preserve">8. Color Palette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Color</w:t>
            </w:r>
          </w:p>
        </w:tc>
        <w:tc>
          <w:tcPr/>
          <w:p>
            <w:pPr>
              <w:pStyle w:val="Compact"/>
            </w:pPr>
            <w:r>
              <w:t xml:space="preserve">Hex</w:t>
            </w:r>
          </w:p>
        </w:tc>
        <w:tc>
          <w:tcPr/>
          <w:p>
            <w:pPr>
              <w:pStyle w:val="Compact"/>
            </w:pPr>
            <w:r>
              <w:t xml:space="preserve">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HISN Navy</w:t>
            </w:r>
          </w:p>
        </w:tc>
        <w:tc>
          <w:tcPr/>
          <w:p>
            <w:pPr>
              <w:pStyle w:val="Compact"/>
            </w:pPr>
            <w:r>
              <w:t xml:space="preserve">#0B1E3F</w:t>
            </w:r>
          </w:p>
        </w:tc>
        <w:tc>
          <w:tcPr/>
          <w:p>
            <w:pPr>
              <w:pStyle w:val="Compact"/>
            </w:pPr>
            <w:r>
              <w:t xml:space="preserve">Primary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HISN Gold</w:t>
            </w:r>
          </w:p>
        </w:tc>
        <w:tc>
          <w:tcPr/>
          <w:p>
            <w:pPr>
              <w:pStyle w:val="Compact"/>
            </w:pPr>
            <w:r>
              <w:t xml:space="preserve">#C9A45B</w:t>
            </w:r>
          </w:p>
        </w:tc>
        <w:tc>
          <w:tcPr/>
          <w:p>
            <w:pPr>
              <w:pStyle w:val="Compact"/>
            </w:pPr>
            <w:r>
              <w:t xml:space="preserve">Accent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HISN Cream</w:t>
            </w:r>
          </w:p>
        </w:tc>
        <w:tc>
          <w:tcPr/>
          <w:p>
            <w:pPr>
              <w:pStyle w:val="Compact"/>
            </w:pPr>
            <w:r>
              <w:t xml:space="preserve">#F5F0E6</w:t>
            </w:r>
          </w:p>
        </w:tc>
        <w:tc>
          <w:tcPr/>
          <w:p>
            <w:pPr>
              <w:pStyle w:val="Compact"/>
            </w:pPr>
            <w:r>
              <w:t xml:space="preserve">Background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HISN Gray</w:t>
            </w:r>
          </w:p>
        </w:tc>
        <w:tc>
          <w:tcPr/>
          <w:p>
            <w:pPr>
              <w:pStyle w:val="Compact"/>
            </w:pPr>
            <w:r>
              <w:t xml:space="preserve">#3C4858</w:t>
            </w:r>
          </w:p>
        </w:tc>
        <w:tc>
          <w:tcPr/>
          <w:p>
            <w:pPr>
              <w:pStyle w:val="Compact"/>
            </w:pPr>
            <w:r>
              <w:t xml:space="preserve">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HISN Success</w:t>
            </w:r>
          </w:p>
        </w:tc>
        <w:tc>
          <w:tcPr/>
          <w:p>
            <w:pPr>
              <w:pStyle w:val="Compact"/>
            </w:pPr>
            <w:r>
              <w:t xml:space="preserve">#1E7B4A</w:t>
            </w:r>
          </w:p>
        </w:tc>
        <w:tc>
          <w:tcPr/>
          <w:p>
            <w:pPr>
              <w:pStyle w:val="Compact"/>
            </w:pPr>
            <w:r>
              <w:t xml:space="preserve">Positive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HISN Alert</w:t>
            </w:r>
          </w:p>
        </w:tc>
        <w:tc>
          <w:tcPr/>
          <w:p>
            <w:pPr>
              <w:pStyle w:val="Compact"/>
            </w:pPr>
            <w:r>
              <w:t xml:space="preserve">#B8472D</w:t>
            </w:r>
          </w:p>
        </w:tc>
        <w:tc>
          <w:tcPr/>
          <w:p>
            <w:pPr>
              <w:pStyle w:val="Compact"/>
            </w:pPr>
            <w:r>
              <w:t xml:space="preserve">Negative</w:t>
            </w:r>
          </w:p>
        </w:tc>
      </w:tr>
    </w:tbl>
    <w:p>
      <w:pPr>
        <w:pStyle w:val="Heading2"/>
      </w:pPr>
      <w:bookmarkStart w:id="18" w:name="_typography"/>
      <w:r>
        <w:t xml:space="preserve">9. Typography</w:t>
      </w:r>
    </w:p>
    <w:p>
      <w:pPr>
        <w:pStyle w:val="FirstParagraph"/>
      </w:pPr>
      <w:r>
        <w:rPr>
          <w:b/>
          <w:bCs/>
        </w:rPr>
        <w:t xml:space="preserve">Primary Font:</w:t>
      </w:r>
      <w:r>
        <w:t xml:space="preserve"> </w:t>
      </w:r>
      <w:r>
        <w:t xml:space="preserve">Inter (Latin)</w:t>
      </w:r>
      <w:r>
        <w:t xml:space="preserve"> </w:t>
      </w:r>
      <w:r>
        <w:rPr>
          <w:b/>
          <w:bCs/>
        </w:rPr>
        <w:t xml:space="preserve">Secondary Font:</w:t>
      </w:r>
      <w:r>
        <w:t xml:space="preserve"> </w:t>
      </w:r>
      <w:r>
        <w:t xml:space="preserve">IBM Plex Sans Arabic (Arabic)</w:t>
      </w:r>
    </w:p>
    <w:p>
      <w:pPr>
        <w:pStyle w:val="BodyText"/>
      </w:pPr>
      <w:r>
        <w:rPr>
          <w:b/>
          <w:bCs/>
        </w:rPr>
        <w:t xml:space="preserve">Hierarchy:</w:t>
      </w:r>
      <w:r>
        <w:t xml:space="preserve"> </w:t>
      </w:r>
      <w:r>
        <w:t xml:space="preserve">- H1: 32pt Bold</w:t>
      </w:r>
      <w:r>
        <w:t xml:space="preserve"> </w:t>
      </w:r>
      <w:r>
        <w:t xml:space="preserve">- H2: 24pt Semi-Bold</w:t>
      </w:r>
      <w:r>
        <w:t xml:space="preserve"> </w:t>
      </w:r>
      <w:r>
        <w:t xml:space="preserve">- H3: 18pt Medium</w:t>
      </w:r>
      <w:r>
        <w:t xml:space="preserve"> </w:t>
      </w:r>
      <w:r>
        <w:t xml:space="preserve">- Body: 11pt Regular</w:t>
      </w:r>
      <w:r>
        <w:t xml:space="preserve"> </w:t>
      </w:r>
      <w:r>
        <w:t xml:space="preserve">- Caption: 9pt Regular</w:t>
      </w:r>
    </w:p>
    <w:p>
      <w:pPr>
        <w:pStyle w:val="Heading2"/>
      </w:pPr>
      <w:bookmarkStart w:id="19" w:name="_7804a116805af1e6c7df766c7022ed1678bd102"/>
      <w:r>
        <w:t xml:space="preserve">10. Voice &amp; Tone</w:t>
      </w:r>
    </w:p>
    <w:p>
      <w:pPr>
        <w:pStyle w:val="FirstParagraph"/>
      </w:pPr>
      <w:r>
        <w:rPr>
          <w:b/>
          <w:bCs/>
        </w:rPr>
        <w:t xml:space="preserve">Voice:</w:t>
      </w:r>
      <w:r>
        <w:t xml:space="preserve"> </w:t>
      </w:r>
      <w:r>
        <w:t xml:space="preserve">Authoritative, trustworthy, transparent.</w:t>
      </w:r>
    </w:p>
    <w:p>
      <w:pPr>
        <w:pStyle w:val="BodyText"/>
      </w:pPr>
      <w:r>
        <w:rPr>
          <w:b/>
          <w:bCs/>
        </w:rPr>
        <w:t xml:space="preserve">Tone by Context:</w:t>
      </w:r>
      <w:r>
        <w:t xml:space="preserve"> </w:t>
      </w:r>
      <w:r>
        <w:t xml:space="preserve">| Context | Tone |</w:t>
      </w:r>
      <w:r>
        <w:t xml:space="preserve"> </w:t>
      </w:r>
      <w:r>
        <w:t xml:space="preserve">|—|—|</w:t>
      </w:r>
      <w:r>
        <w:t xml:space="preserve"> </w:t>
      </w:r>
      <w:r>
        <w:t xml:space="preserve">| Investor Materials | Confident, data-driven |</w:t>
      </w:r>
      <w:r>
        <w:t xml:space="preserve"> </w:t>
      </w:r>
      <w:r>
        <w:t xml:space="preserve">| Customer Sales | Consultative, educational |</w:t>
      </w:r>
      <w:r>
        <w:t xml:space="preserve"> </w:t>
      </w:r>
      <w:r>
        <w:t xml:space="preserve">| Technical Docs | Precise, unambiguous |</w:t>
      </w:r>
      <w:r>
        <w:t xml:space="preserve"> </w:t>
      </w:r>
      <w:r>
        <w:t xml:space="preserve">| Marketing | Aspirational, grounded |</w:t>
      </w:r>
      <w:r>
        <w:t xml:space="preserve"> </w:t>
      </w:r>
      <w:r>
        <w:t xml:space="preserve">| Regulatory | Conservative, evidence-based |</w:t>
      </w:r>
    </w:p>
    <w:p>
      <w:pPr>
        <w:pStyle w:val="Heading2"/>
      </w:pPr>
      <w:bookmarkStart w:id="20" w:name="_e9c7130899051e5a96a4aee8660d72e6d1a26f6"/>
      <w:r>
        <w:t xml:space="preserve">11. Key Messaging</w:t>
      </w:r>
    </w:p>
    <w:p>
      <w:pPr>
        <w:pStyle w:val="FirstParagraph"/>
      </w:pPr>
      <w:r>
        <w:rPr>
          <w:b/>
          <w:bCs/>
        </w:rPr>
        <w:t xml:space="preserve">Elevator Pitch (30 sec):</w:t>
      </w:r>
      <w:r>
        <w:t xml:space="preserve"> </w:t>
      </w:r>
      <w:r>
        <w:t xml:space="preserve">&gt;</w:t>
      </w:r>
      <w:r>
        <w:t xml:space="preserve"> </w:t>
      </w:r>
      <w:r>
        <w:t xml:space="preserve">“HISN is the Financial Crime Decision Operating System for regulated institutions — binding signals, evidence, policy, and audit into a single governed decision lifecycle.”</w:t>
      </w:r>
    </w:p>
    <w:p>
      <w:pPr>
        <w:pStyle w:val="BodyText"/>
      </w:pPr>
      <w:r>
        <w:rPr>
          <w:b/>
          <w:bCs/>
        </w:rPr>
        <w:t xml:space="preserve">Category Statement:</w:t>
      </w:r>
      <w:r>
        <w:t xml:space="preserve"> </w:t>
      </w:r>
      <w:r>
        <w:t xml:space="preserve">&gt;</w:t>
      </w:r>
      <w:r>
        <w:t xml:space="preserve"> </w:t>
      </w:r>
      <w:r>
        <w:t xml:space="preserve">“HISN does not compete as another AML tool. HISN is the decision infrastructure that sits above fragmented point solutions.”</w:t>
      </w:r>
    </w:p>
    <w:p>
      <w:pPr>
        <w:pStyle w:val="BodyText"/>
      </w:pPr>
      <w:r>
        <w:rPr>
          <w:b/>
          <w:bCs/>
        </w:rPr>
        <w:t xml:space="preserve">Proof Statement:</w:t>
      </w:r>
      <w:r>
        <w:t xml:space="preserve"> </w:t>
      </w:r>
      <w:r>
        <w:t xml:space="preserve">&gt;</w:t>
      </w:r>
      <w:r>
        <w:t xml:space="preserve"> </w:t>
      </w:r>
      <w:r>
        <w:t xml:space="preserve">“Built, not planned. Tested, not promised. Governed, not improvised.”</w:t>
      </w:r>
    </w:p>
    <w:p>
      <w:pPr>
        <w:pStyle w:val="Heading2"/>
      </w:pPr>
      <w:bookmarkStart w:id="21" w:name="_9ed2ca50320db50af9fbfc5cc73d99ab0495c20"/>
      <w:r>
        <w:t xml:space="preserve">12. Brand Do’s and Don’ts</w:t>
      </w:r>
    </w:p>
    <w:p>
      <w:pPr>
        <w:pStyle w:val="FirstParagraph"/>
      </w:pPr>
      <w:r>
        <w:rPr>
          <w:b/>
          <w:bCs/>
        </w:rPr>
        <w:t xml:space="preserve">Do:</w:t>
      </w:r>
      <w:r>
        <w:t xml:space="preserve"> </w:t>
      </w:r>
      <w:r>
        <w:t xml:space="preserve">- Use official logo files</w:t>
      </w:r>
      <w:r>
        <w:t xml:space="preserve"> </w:t>
      </w:r>
      <w:r>
        <w:t xml:space="preserve">- Maintain clear space</w:t>
      </w:r>
      <w:r>
        <w:t xml:space="preserve"> </w:t>
      </w:r>
      <w:r>
        <w:t xml:space="preserve">- Use approved colors</w:t>
      </w:r>
      <w:r>
        <w:t xml:space="preserve"> </w:t>
      </w:r>
      <w:r>
        <w:t xml:space="preserve">- Reference HISN in full or abbreviated</w:t>
      </w:r>
      <w:r>
        <w:t xml:space="preserve"> </w:t>
      </w:r>
      <w:r>
        <w:t xml:space="preserve">- Use</w:t>
      </w:r>
      <w:r>
        <w:t xml:space="preserve"> </w:t>
      </w:r>
      <w:r>
        <w:t xml:space="preserve">“Financial Crime Decision Operating System”</w:t>
      </w:r>
      <w:r>
        <w:t xml:space="preserve"> </w:t>
      </w:r>
      <w:r>
        <w:t xml:space="preserve">for category</w:t>
      </w:r>
    </w:p>
    <w:p>
      <w:pPr>
        <w:pStyle w:val="BodyText"/>
      </w:pPr>
      <w:r>
        <w:rPr>
          <w:b/>
          <w:bCs/>
        </w:rPr>
        <w:t xml:space="preserve">Don’t:</w:t>
      </w:r>
      <w:r>
        <w:t xml:space="preserve"> </w:t>
      </w:r>
      <w:r>
        <w:t xml:space="preserve">- Recolor the logo</w:t>
      </w:r>
      <w:r>
        <w:t xml:space="preserve"> </w:t>
      </w:r>
      <w:r>
        <w:t xml:space="preserve">- Use unapproved fonts</w:t>
      </w:r>
      <w:r>
        <w:t xml:space="preserve"> </w:t>
      </w:r>
      <w:r>
        <w:t xml:space="preserve">- Make unverified claims</w:t>
      </w:r>
      <w:r>
        <w:t xml:space="preserve"> </w:t>
      </w:r>
      <w:r>
        <w:t xml:space="preserve">- Use</w:t>
      </w:r>
      <w:r>
        <w:t xml:space="preserve"> </w:t>
      </w:r>
      <w:r>
        <w:t xml:space="preserve">“SAMA-certified”</w:t>
      </w:r>
      <w:r>
        <w:t xml:space="preserve"> </w:t>
      </w:r>
      <w:r>
        <w:t xml:space="preserve">without evidence</w:t>
      </w:r>
      <w:r>
        <w:t xml:space="preserve"> </w:t>
      </w:r>
      <w:r>
        <w:t xml:space="preserve">- Use</w:t>
      </w:r>
      <w:r>
        <w:t xml:space="preserve"> </w:t>
      </w:r>
      <w:r>
        <w:t xml:space="preserve">“bank-grade”</w:t>
      </w:r>
      <w:r>
        <w:t xml:space="preserve"> </w:t>
      </w:r>
      <w:r>
        <w:t xml:space="preserve">without qualification</w:t>
      </w:r>
      <w:r>
        <w:t xml:space="preserve"> </w:t>
      </w:r>
      <w:r>
        <w:t xml:space="preserve">- Compare competitors negatively</w:t>
      </w:r>
    </w:p>
    <w:p>
      <w:pPr>
        <w:pStyle w:val="Heading2"/>
      </w:pPr>
      <w:bookmarkStart w:id="22" w:name="_526dc4108369ec8acda97b88f0f074421d0670a"/>
      <w:r>
        <w:t xml:space="preserve">13. Digital Presence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Channel</w:t>
            </w:r>
          </w:p>
        </w:tc>
        <w:tc>
          <w:tcPr/>
          <w:p>
            <w:pPr>
              <w:pStyle w:val="Compact"/>
            </w:pPr>
            <w:r>
              <w:t xml:space="preserve">Handle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Website</w:t>
            </w:r>
          </w:p>
        </w:tc>
        <w:tc>
          <w:tcPr/>
          <w:p>
            <w:pPr>
              <w:pStyle w:val="Compact"/>
            </w:pPr>
            <w:r>
              <w:t xml:space="preserve">hisn.sa (planned)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LinkedIn</w:t>
            </w:r>
          </w:p>
        </w:tc>
        <w:tc>
          <w:tcPr/>
          <w:p>
            <w:pPr>
              <w:pStyle w:val="Compact"/>
            </w:pPr>
            <w:r>
              <w:t xml:space="preserve">/company/hisn-platform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info@hisn.sa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</w:t>
            </w:r>
          </w:p>
        </w:tc>
        <w:tc>
          <w:tcPr/>
          <w:p>
            <w:pPr>
              <w:pStyle w:val="Compact"/>
            </w:pPr>
            <w:r>
              <w:t xml:space="preserve">support@hisn.sa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security@hisn.sa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</w:t>
            </w:r>
          </w:p>
        </w:tc>
        <w:tc>
          <w:tcPr/>
          <w:p>
            <w:pPr>
              <w:pStyle w:val="Compact"/>
            </w:pPr>
            <w:r>
              <w:t xml:space="preserve">privacy@hisn.sa</w:t>
            </w:r>
          </w:p>
        </w:tc>
      </w:tr>
    </w:tbl>
    <w:p>
      <w:pPr>
        <w:pStyle w:val="Heading2"/>
      </w:pPr>
      <w:bookmarkStart w:id="23" w:name="_46b61c5a9fd51a4b23566fd7a0a754ff1c9628d"/>
      <w:r>
        <w:t xml:space="preserve">14. Assets Inventory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Primary logo</w:t>
            </w:r>
          </w:p>
        </w:tc>
        <w:tc>
          <w:tcPr/>
          <w:p>
            <w:pPr>
              <w:pStyle w:val="Compact"/>
            </w:pPr>
            <w:r>
              <w:t xml:space="preserve">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Inverse logo</w:t>
            </w:r>
          </w:p>
        </w:tc>
        <w:tc>
          <w:tcPr/>
          <w:p>
            <w:pPr>
              <w:pStyle w:val="Compact"/>
            </w:pPr>
            <w:r>
              <w:t xml:space="preserve">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Icon mark</w:t>
            </w:r>
          </w:p>
        </w:tc>
        <w:tc>
          <w:tcPr/>
          <w:p>
            <w:pPr>
              <w:pStyle w:val="Compact"/>
            </w:pPr>
            <w:r>
              <w:t xml:space="preserve">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Arabic logo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Brand guidelines</w:t>
            </w:r>
          </w:p>
        </w:tc>
        <w:tc>
          <w:tcPr/>
          <w:p>
            <w:pPr>
              <w:pStyle w:val="Compact"/>
            </w:pPr>
            <w:r>
              <w:t xml:space="preserve">This document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Template deck</w:t>
            </w:r>
          </w:p>
        </w:tc>
        <w:tc>
          <w:tcPr/>
          <w:p>
            <w:pPr>
              <w:pStyle w:val="Compact"/>
            </w:pPr>
            <w:r>
              <w:t xml:space="preserve">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Template document</w:t>
            </w:r>
          </w:p>
        </w:tc>
        <w:tc>
          <w:tcPr/>
          <w:p>
            <w:pPr>
              <w:pStyle w:val="Compact"/>
            </w:pPr>
            <w:r>
              <w:t xml:space="preserve">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 signature</w:t>
            </w:r>
          </w:p>
        </w:tc>
        <w:tc>
          <w:tcPr/>
          <w:p>
            <w:pPr>
              <w:pStyle w:val="Compact"/>
            </w:pPr>
            <w:r>
              <w:t xml:space="preserve">Available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Brand book is the authoritative reference for HISN identity. Updated annually.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Brand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Brand Book</dc:title>
  <dc:creator>HISN Platform</dc:creator>
  <cp:keywords>HISN, FCDOS, financial crime, decision operating system</cp:keywords>
  <dcterms:created xsi:type="dcterms:W3CDTF">2026-10-14T09:44:20Z</dcterms:created>
  <dcterms:modified xsi:type="dcterms:W3CDTF">2026-10-14T09:44:20Z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