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03_Value_Proposition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35fdc5c2fce61781290d2ba09f3e89bbbc744c5"/>
      <w:r>
        <w:t xml:space="preserve">VALUE PROPOSITION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f48e944a0b5876fa570853581ea8366aa2d0bea"/>
      <w:r>
        <w:t xml:space="preserve">1. Core Value Proposition</w:t>
      </w:r>
    </w:p>
    <w:p>
      <w:pPr>
        <w:pStyle w:val="BlockText"/>
      </w:pPr>
      <w:r>
        <w:rPr>
          <w:b/>
          <w:bCs/>
        </w:rPr>
        <w:t xml:space="preserve">HISN transforms fragmented financial crime compliance into one governed decision lifecycle — with evidence, policy, and audit bound together in every decision.</w:t>
      </w:r>
    </w:p>
    <w:p>
      <w:pPr>
        <w:pStyle w:val="Heading2"/>
      </w:pPr>
      <w:bookmarkStart w:id="11" w:name="_603aa22c5bf661628b8be0767d2bb0592b00d8e"/>
      <w:r>
        <w:t xml:space="preserve">2. Value by Stakeholder</w:t>
      </w:r>
    </w:p>
    <w:p>
      <w:pPr>
        <w:pStyle w:val="Heading3"/>
      </w:pPr>
      <w:bookmarkStart w:id="12" w:name="_098034772b841e6183d185e0d633b750b9922ae"/>
      <w:r>
        <w:t xml:space="preserve">For the CEO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Audit-ready decisions</w:t>
            </w:r>
          </w:p>
        </w:tc>
        <w:tc>
          <w:tcPr/>
          <w:p>
            <w:pPr>
              <w:pStyle w:val="Compact"/>
            </w:pPr>
            <w:r>
              <w:t xml:space="preserve">Reduced regulatory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Board-level visibility</w:t>
            </w:r>
          </w:p>
        </w:tc>
        <w:tc>
          <w:tcPr/>
          <w:p>
            <w:pPr>
              <w:pStyle w:val="Compact"/>
            </w:pPr>
            <w:r>
              <w:t xml:space="preserve">Strategic clarity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Cost efficiency</w:t>
            </w:r>
          </w:p>
        </w:tc>
        <w:tc>
          <w:tcPr/>
          <w:p>
            <w:pPr>
              <w:pStyle w:val="Compact"/>
            </w:pPr>
            <w:r>
              <w:t xml:space="preserve">Lower compliance TCO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consolidation</w:t>
            </w:r>
          </w:p>
        </w:tc>
        <w:tc>
          <w:tcPr/>
          <w:p>
            <w:pPr>
              <w:pStyle w:val="Compact"/>
            </w:pPr>
            <w:r>
              <w:t xml:space="preserve">Fewer tools</w:t>
            </w:r>
          </w:p>
        </w:tc>
      </w:tr>
    </w:tbl>
    <w:p>
      <w:pPr>
        <w:pStyle w:val="Heading3"/>
      </w:pPr>
      <w:bookmarkStart w:id="13" w:name="_dc855d9791fbb30b966a36b8f4e466a301891fe"/>
      <w:r>
        <w:t xml:space="preserve">For the CCO / MLRO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lineage</w:t>
            </w:r>
          </w:p>
        </w:tc>
        <w:tc>
          <w:tcPr/>
          <w:p>
            <w:pPr>
              <w:pStyle w:val="Compact"/>
            </w:pPr>
            <w:r>
              <w:t xml:space="preserve">Defensible to regulators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False-positive reduction</w:t>
            </w:r>
          </w:p>
        </w:tc>
        <w:tc>
          <w:tcPr/>
          <w:p>
            <w:pPr>
              <w:pStyle w:val="Compact"/>
            </w:pPr>
            <w:r>
              <w:t xml:space="preserve">Better investigator productivity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automation</w:t>
            </w:r>
          </w:p>
        </w:tc>
        <w:tc>
          <w:tcPr/>
          <w:p>
            <w:pPr>
              <w:pStyle w:val="Compact"/>
            </w:pPr>
            <w:r>
              <w:t xml:space="preserve">Less manual 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reporting</w:t>
            </w:r>
          </w:p>
        </w:tc>
        <w:tc>
          <w:tcPr/>
          <w:p>
            <w:pPr>
              <w:pStyle w:val="Compact"/>
            </w:pPr>
            <w:r>
              <w:t xml:space="preserve">Faster, accurate SAR/STR</w:t>
            </w:r>
          </w:p>
        </w:tc>
      </w:tr>
    </w:tbl>
    <w:p>
      <w:pPr>
        <w:pStyle w:val="Heading3"/>
      </w:pPr>
      <w:bookmarkStart w:id="14" w:name="_575c10e12b254e196707ab86757be948196960c"/>
      <w:r>
        <w:t xml:space="preserve">For the CISO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RLS</w:t>
            </w:r>
          </w:p>
        </w:tc>
        <w:tc>
          <w:tcPr/>
          <w:p>
            <w:pPr>
              <w:pStyle w:val="Compact"/>
            </w:pPr>
            <w:r>
              <w:t xml:space="preserve">Bank-grade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everywhere</w:t>
            </w:r>
          </w:p>
        </w:tc>
        <w:tc>
          <w:tcPr/>
          <w:p>
            <w:pPr>
              <w:pStyle w:val="Compact"/>
            </w:pPr>
            <w:r>
              <w:t xml:space="preserve">Data protection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trails</w:t>
            </w:r>
          </w:p>
        </w:tc>
        <w:tc>
          <w:tcPr/>
          <w:p>
            <w:pPr>
              <w:pStyle w:val="Compact"/>
            </w:pPr>
            <w:r>
              <w:t xml:space="preserve">Forensic readiness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security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</w:tr>
    </w:tbl>
    <w:p>
      <w:pPr>
        <w:pStyle w:val="Heading3"/>
      </w:pPr>
      <w:bookmarkStart w:id="15" w:name="_d60d69f1120f6c45d8562bf9035078e0f7081be"/>
      <w:r>
        <w:t xml:space="preserve">For the CTO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runtime</w:t>
            </w:r>
          </w:p>
        </w:tc>
        <w:tc>
          <w:tcPr/>
          <w:p>
            <w:pPr>
              <w:pStyle w:val="Compact"/>
            </w:pPr>
            <w:r>
              <w:t xml:space="preserve">Lower integration cost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API-first</w:t>
            </w:r>
          </w:p>
        </w:tc>
        <w:tc>
          <w:tcPr/>
          <w:p>
            <w:pPr>
              <w:pStyle w:val="Compact"/>
            </w:pPr>
            <w:r>
              <w:t xml:space="preserve">Faster time to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Cloud-native</w:t>
            </w:r>
          </w:p>
        </w:tc>
        <w:tc>
          <w:tcPr/>
          <w:p>
            <w:pPr>
              <w:pStyle w:val="Compact"/>
            </w:pPr>
            <w:r>
              <w:t xml:space="preserve">Scalability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 architecture</w:t>
            </w:r>
          </w:p>
        </w:tc>
        <w:tc>
          <w:tcPr/>
          <w:p>
            <w:pPr>
              <w:pStyle w:val="Compact"/>
            </w:pPr>
            <w:r>
              <w:t xml:space="preserve">No lock-in</w:t>
            </w:r>
          </w:p>
        </w:tc>
      </w:tr>
    </w:tbl>
    <w:p>
      <w:pPr>
        <w:pStyle w:val="Heading3"/>
      </w:pPr>
      <w:bookmarkStart w:id="16" w:name="_c5671e708415e2672d93880ab61be947e89682d"/>
      <w:r>
        <w:t xml:space="preserve">For the CFO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Predictable SaaS</w:t>
            </w:r>
          </w:p>
        </w:tc>
        <w:tc>
          <w:tcPr/>
          <w:p>
            <w:pPr>
              <w:pStyle w:val="Compact"/>
            </w:pPr>
            <w:r>
              <w:t xml:space="preserve">Budget certainty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Reduced headcount</w:t>
            </w:r>
          </w:p>
        </w:tc>
        <w:tc>
          <w:tcPr/>
          <w:p>
            <w:pPr>
              <w:pStyle w:val="Compact"/>
            </w:pPr>
            <w:r>
              <w:t xml:space="preserve">Lower OPEX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Scalable platform</w:t>
            </w:r>
          </w:p>
        </w:tc>
        <w:tc>
          <w:tcPr/>
          <w:p>
            <w:pPr>
              <w:pStyle w:val="Compact"/>
            </w:pPr>
            <w:r>
              <w:t xml:space="preserve">Growth efficiency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Multi-module</w:t>
            </w:r>
          </w:p>
        </w:tc>
        <w:tc>
          <w:tcPr/>
          <w:p>
            <w:pPr>
              <w:pStyle w:val="Compact"/>
            </w:pPr>
            <w:r>
              <w:t xml:space="preserve">Higher ROI</w:t>
            </w:r>
          </w:p>
        </w:tc>
      </w:tr>
    </w:tbl>
    <w:p>
      <w:pPr>
        <w:pStyle w:val="Heading2"/>
      </w:pPr>
      <w:bookmarkStart w:id="17" w:name="_022c6bd6ab9b5bc31f0bc88ca0251def99e055a"/>
      <w:r>
        <w:t xml:space="preserve">3. Problem-Solution 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Problem</w:t>
            </w:r>
          </w:p>
        </w:tc>
        <w:tc>
          <w:tcPr/>
          <w:p>
            <w:pPr>
              <w:pStyle w:val="Compact"/>
            </w:pPr>
            <w:r>
              <w:t xml:space="preserve">HISN Solution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Fragmented tools</w:t>
            </w:r>
          </w:p>
        </w:tc>
        <w:tc>
          <w:tcPr/>
          <w:p>
            <w:pPr>
              <w:pStyle w:val="Compact"/>
            </w:pPr>
            <w:r>
              <w:t xml:space="preserve">Canonical Decision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Black-box alerts</w:t>
            </w:r>
          </w:p>
        </w:tc>
        <w:tc>
          <w:tcPr/>
          <w:p>
            <w:pPr>
              <w:pStyle w:val="Compact"/>
            </w:pPr>
            <w:r>
              <w:t xml:space="preserve">Explainable decision lineage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Manual evidence collection</w:t>
            </w:r>
          </w:p>
        </w:tc>
        <w:tc>
          <w:tcPr/>
          <w:p>
            <w:pPr>
              <w:pStyle w:val="Compact"/>
            </w:pPr>
            <w:r>
              <w:t xml:space="preserve">Automated Evidence Fabric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Inconsistent audit trails</w:t>
            </w:r>
          </w:p>
        </w:tc>
        <w:tc>
          <w:tcPr/>
          <w:p>
            <w:pPr>
              <w:pStyle w:val="Compact"/>
            </w:pPr>
            <w:r>
              <w:t xml:space="preserve">Immutable Decision DNA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Slow integration</w:t>
            </w:r>
          </w:p>
        </w:tc>
        <w:tc>
          <w:tcPr/>
          <w:p>
            <w:pPr>
              <w:pStyle w:val="Compact"/>
            </w:pPr>
            <w:r>
              <w:t xml:space="preserve">API-first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 false positives</w:t>
            </w:r>
          </w:p>
        </w:tc>
        <w:tc>
          <w:tcPr/>
          <w:p>
            <w:pPr>
              <w:pStyle w:val="Compact"/>
            </w:pPr>
            <w:r>
              <w:t xml:space="preserve">Multi-engine orchestration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pressure</w:t>
            </w:r>
          </w:p>
        </w:tc>
        <w:tc>
          <w:tcPr/>
          <w:p>
            <w:pPr>
              <w:pStyle w:val="Compact"/>
            </w:pPr>
            <w:r>
              <w:t xml:space="preserve">Audit-grade compliance</w:t>
            </w:r>
          </w:p>
        </w:tc>
      </w:tr>
    </w:tbl>
    <w:p>
      <w:pPr>
        <w:pStyle w:val="Heading2"/>
      </w:pPr>
      <w:bookmarkStart w:id="18" w:name="_52f337ef213936c5ccff77cf5146ea3efc30b28"/>
      <w:r>
        <w:t xml:space="preserve">4. Proof Points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Proof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maturity</w:t>
            </w:r>
          </w:p>
        </w:tc>
        <w:tc>
          <w:tcPr/>
          <w:p>
            <w:pPr>
              <w:pStyle w:val="Compact"/>
            </w:pPr>
            <w:r>
              <w:t xml:space="preserve">66,502 Python LOC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coverage</w:t>
            </w:r>
          </w:p>
        </w:tc>
        <w:tc>
          <w:tcPr/>
          <w:p>
            <w:pPr>
              <w:pStyle w:val="Compact"/>
            </w:pPr>
            <w:r>
              <w:t xml:space="preserve">280+ test suites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Multi-domain validation</w:t>
            </w:r>
          </w:p>
        </w:tc>
        <w:tc>
          <w:tcPr/>
          <w:p>
            <w:pPr>
              <w:pStyle w:val="Compact"/>
            </w:pPr>
            <w:r>
              <w:t xml:space="preserve">Bank + Insurance + Exchange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Terminal Assurance</w:t>
            </w:r>
          </w:p>
        </w:tc>
        <w:tc>
          <w:tcPr/>
          <w:p>
            <w:pPr>
              <w:pStyle w:val="Compact"/>
            </w:pPr>
            <w:r>
              <w:t xml:space="preserve">Passing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830+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Institutional standards</w:t>
            </w:r>
          </w:p>
        </w:tc>
      </w:tr>
    </w:tbl>
    <w:p>
      <w:pPr>
        <w:pStyle w:val="Heading2"/>
      </w:pPr>
      <w:bookmarkStart w:id="19" w:name="_68236538a507da71e56925b05d48df395bd3d2a"/>
      <w:r>
        <w:t xml:space="preserve">5. Value Quantification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Before HISN</w:t>
            </w:r>
          </w:p>
        </w:tc>
        <w:tc>
          <w:tcPr/>
          <w:p>
            <w:pPr>
              <w:pStyle w:val="Compact"/>
            </w:pPr>
            <w:r>
              <w:t xml:space="preserve">With HISN</w:t>
            </w:r>
          </w:p>
        </w:tc>
        <w:tc>
          <w:tcPr/>
          <w:p>
            <w:pPr>
              <w:pStyle w:val="Compact"/>
            </w:pPr>
            <w:r>
              <w:t xml:space="preserve">Improvement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False positives</w:t>
            </w:r>
          </w:p>
        </w:tc>
        <w:tc>
          <w:tcPr/>
          <w:p>
            <w:pPr>
              <w:pStyle w:val="Compact"/>
            </w:pPr>
            <w:r>
              <w:t xml:space="preserve">90%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  <w:tc>
          <w:tcPr/>
          <w:p>
            <w:pPr>
              <w:pStyle w:val="Compact"/>
            </w:pPr>
            <w:r>
              <w:t xml:space="preserve">-55%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Investigator time on data</w:t>
            </w:r>
          </w:p>
        </w:tc>
        <w:tc>
          <w:tcPr/>
          <w:p>
            <w:pPr>
              <w:pStyle w:val="Compact"/>
            </w:pPr>
            <w:r>
              <w:t xml:space="preserve">80%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  <w:tc>
          <w:tcPr/>
          <w:p>
            <w:pPr>
              <w:pStyle w:val="Compact"/>
            </w:pPr>
            <w:r>
              <w:t xml:space="preserve">-50%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prep time</w:t>
            </w:r>
          </w:p>
        </w:tc>
        <w:tc>
          <w:tcPr/>
          <w:p>
            <w:pPr>
              <w:pStyle w:val="Compact"/>
            </w:pPr>
            <w:r>
              <w:t xml:space="preserve">12 weeks</w:t>
            </w:r>
          </w:p>
        </w:tc>
        <w:tc>
          <w:tcPr/>
          <w:p>
            <w:pPr>
              <w:pStyle w:val="Compact"/>
            </w:pPr>
            <w:r>
              <w:t xml:space="preserve">2 weeks</w:t>
            </w:r>
          </w:p>
        </w:tc>
        <w:tc>
          <w:tcPr/>
          <w:p>
            <w:pPr>
              <w:pStyle w:val="Compact"/>
            </w:pPr>
            <w:r>
              <w:t xml:space="preserve">-83%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TCO</w:t>
            </w:r>
          </w:p>
        </w:tc>
        <w:tc>
          <w:tcPr/>
          <w:p>
            <w:pPr>
              <w:pStyle w:val="Compact"/>
            </w:pPr>
            <w:r>
              <w:t xml:space="preserve">SAR 10M</w:t>
            </w:r>
          </w:p>
        </w:tc>
        <w:tc>
          <w:tcPr/>
          <w:p>
            <w:pPr>
              <w:pStyle w:val="Compact"/>
            </w:pPr>
            <w:r>
              <w:t xml:space="preserve">SAR 6M</w:t>
            </w:r>
          </w:p>
        </w:tc>
        <w:tc>
          <w:tcPr/>
          <w:p>
            <w:pPr>
              <w:pStyle w:val="Compact"/>
            </w:pPr>
            <w:r>
              <w:t xml:space="preserve">-40%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to decision</w:t>
            </w:r>
          </w:p>
        </w:tc>
        <w:tc>
          <w:tcPr/>
          <w:p>
            <w:pPr>
              <w:pStyle w:val="Compact"/>
            </w:pPr>
            <w:r>
              <w:t xml:space="preserve">3 days</w:t>
            </w:r>
          </w:p>
        </w:tc>
        <w:tc>
          <w:tcPr/>
          <w:p>
            <w:pPr>
              <w:pStyle w:val="Compact"/>
            </w:pPr>
            <w:r>
              <w:t xml:space="preserve">4 hours</w:t>
            </w:r>
          </w:p>
        </w:tc>
        <w:tc>
          <w:tcPr/>
          <w:p>
            <w:pPr>
              <w:pStyle w:val="Compact"/>
            </w:pPr>
            <w:r>
              <w:t xml:space="preserve">-95%</w:t>
            </w:r>
          </w:p>
        </w:tc>
      </w:tr>
    </w:tbl>
    <w:p>
      <w:pPr>
        <w:pStyle w:val="FirstParagraph"/>
      </w:pPr>
      <w:r>
        <w:rPr>
          <w:i/>
          <w:iCs/>
        </w:rPr>
        <w:t xml:space="preserve">Estimates based on industry benchmarks, subject to customer validation.</w:t>
      </w:r>
    </w:p>
    <w:p>
      <w:pPr>
        <w:pStyle w:val="Heading2"/>
      </w:pPr>
      <w:bookmarkStart w:id="20" w:name="_14fbe25cb6c27aee928bdfb106fb4a81443db42"/>
      <w:r>
        <w:t xml:space="preserve">6. Why HISN Wins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Built, not planned</w:t>
      </w:r>
      <w:r>
        <w:t xml:space="preserve"> </w:t>
      </w:r>
      <w:r>
        <w:t xml:space="preserve">— real platform, real tests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Decision-centric</w:t>
      </w:r>
      <w:r>
        <w:t xml:space="preserve"> </w:t>
      </w:r>
      <w:r>
        <w:t xml:space="preserve">— not point-solution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Audit-grade</w:t>
      </w:r>
      <w:r>
        <w:t xml:space="preserve"> </w:t>
      </w:r>
      <w:r>
        <w:t xml:space="preserve">— evidence is native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Saudi-first</w:t>
      </w:r>
      <w:r>
        <w:t xml:space="preserve"> </w:t>
      </w:r>
      <w:r>
        <w:t xml:space="preserve">— local regulation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Multi-domain</w:t>
      </w:r>
      <w:r>
        <w:t xml:space="preserve"> </w:t>
      </w:r>
      <w:r>
        <w:t xml:space="preserve">— bank + insurance + exchange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Conservative anchor</w:t>
      </w:r>
      <w:r>
        <w:t xml:space="preserve"> </w:t>
      </w:r>
      <w:r>
        <w:t xml:space="preserve">— investor-aligned</w:t>
      </w:r>
    </w:p>
    <w:p>
      <w:pPr>
        <w:pStyle w:val="Heading2"/>
      </w:pPr>
      <w:bookmarkStart w:id="21" w:name="_2ec9013de9858f3b1bb984a4aeb686f0b83c986"/>
      <w:r>
        <w:t xml:space="preserve">7. Elevator Pitch (30 sec)</w:t>
      </w:r>
    </w:p>
    <w:p>
      <w:pPr>
        <w:pStyle w:val="BlockText"/>
      </w:pPr>
      <w:r>
        <w:t xml:space="preserve">“Banks today use fragmented tools for AML, fraud, sanctions, and KYC. HISN is the decision operating system that sits above these silos — producing a single governed decision record with full evidence and audit lineage.”</w:t>
      </w:r>
    </w:p>
    <w:p>
      <w:pPr>
        <w:pStyle w:val="Heading2"/>
      </w:pPr>
      <w:bookmarkStart w:id="22" w:name="_02c63a830cde67a36f8f4581673b411fc274ec4"/>
      <w:r>
        <w:t xml:space="preserve">8. Elevator Pitch (60 sec)</w:t>
      </w:r>
    </w:p>
    <w:p>
      <w:pPr>
        <w:pStyle w:val="BlockText"/>
      </w:pPr>
      <w:r>
        <w:t xml:space="preserve">“Regulated institutions face fragmented compliance tools, black-box decisions, and inconsistent audit trails. HISN is a Financial Crime Decision Operating System — a canonical decision runtime that binds signals, evidence, policy, and audit into one immutable record. Built with multi-tenant RLS security and Saudi-first architecture, HISN supports AML, fraud, sanctions, KYC, KYB, and graph intelligence in a single governed lifecycle.”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Value proposition refined continuously based on customer feedback.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Brand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Value Proposition</dc:title>
  <dc:creator>HISN Platform</dc:creator>
  <cp:keywords>HISN, FCDOS, financial crime, decision operating system</cp:keywords>
  <dcterms:created xsi:type="dcterms:W3CDTF">2026-10-14T09:44:20Z</dcterms:created>
  <dcterms:modified xsi:type="dcterms:W3CDTF">2026-10-14T09:44:20Z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