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BRAND_BOOK</w:t>
      </w:r>
    </w:p>
    <w:p>
      <w:pPr>
        <w:pStyle w:val="Author"/>
      </w:pPr>
      <w:r>
        <w:t xml:space="preserve">HISN Platform</w:t>
      </w:r>
    </w:p>
    <w:p>
      <w:pPr>
        <w:pStyle w:val="Heading1"/>
      </w:pPr>
      <w:bookmarkStart w:id="9" w:name="_93a1b077f5407349104cedc1ba740df041b5e49"/>
      <w:r>
        <w:t xml:space="preserve">HISN — BRAND BOOK</w:t>
      </w:r>
    </w:p>
    <w:p>
      <w:pPr>
        <w:pStyle w:val="FirstParagraph"/>
      </w:pPr>
      <w:r>
        <w:rPr>
          <w:b/>
          <w:bCs/>
        </w:rPr>
        <w:t xml:space="preserve">Version:</w:t>
      </w:r>
      <w:r>
        <w:t xml:space="preserve"> </w:t>
      </w:r>
      <w:r>
        <w:t xml:space="preserve">2.0 |</w:t>
      </w:r>
      <w:r>
        <w:t xml:space="preserve"> </w:t>
      </w:r>
      <w:r>
        <w:rPr>
          <w:b/>
          <w:bCs/>
        </w:rPr>
        <w:t xml:space="preserve">Date:</w:t>
      </w:r>
      <w:r>
        <w:t xml:space="preserve"> </w:t>
      </w:r>
      <w:r>
        <w:t xml:space="preserve">October 2026</w:t>
      </w:r>
      <w:r>
        <w:t xml:space="preserve"> </w:t>
      </w:r>
      <w:r>
        <w:rPr>
          <w:b/>
          <w:bCs/>
        </w:rPr>
        <w:t xml:space="preserve">Classification:</w:t>
      </w:r>
      <w:r>
        <w:t xml:space="preserve"> </w:t>
      </w:r>
      <w:r>
        <w:t xml:space="preserve">Public — For All Materials</w:t>
      </w:r>
    </w:p>
    <w:p>
      <w:r>
        <w:pict>
          <v:rect style="width:0;height:1.5pt" o:hralign="center" o:hrstd="t" o:hr="t"/>
        </w:pict>
      </w:r>
    </w:p>
    <w:p>
      <w:pPr>
        <w:pStyle w:val="Heading2"/>
      </w:pPr>
      <w:bookmarkStart w:id="10" w:name="_86c3e2016aa3d2509569a9ffd01a8b459d95228"/>
      <w:r>
        <w:t xml:space="preserve">1. Brand Essence</w:t>
      </w:r>
    </w:p>
    <w:p>
      <w:pPr>
        <w:pStyle w:val="FirstParagraph"/>
      </w:pPr>
      <w:r>
        <w:rPr>
          <w:b/>
          <w:bCs/>
        </w:rPr>
        <w:t xml:space="preserve">HISN</w:t>
      </w:r>
      <w:r>
        <w:t xml:space="preserve"> </w:t>
      </w:r>
      <w:r>
        <w:t xml:space="preserve">(حِصن) — the fortress. A protected stronghold.</w:t>
      </w:r>
    </w:p>
    <w:p>
      <w:pPr>
        <w:pStyle w:val="BodyText"/>
      </w:pPr>
      <w:r>
        <w:t xml:space="preserve">The brand reflects HISN’s purpose: to be the trusted, immovable infrastructure that protects financial institutions from financial crime through governed, auditable decisions.</w:t>
      </w:r>
    </w:p>
    <w:p>
      <w:pPr>
        <w:pStyle w:val="BodyText"/>
      </w:pPr>
      <w:r>
        <w:rPr>
          <w:b/>
          <w:bCs/>
        </w:rPr>
        <w:t xml:space="preserve">Tagline (EN):</w:t>
      </w:r>
      <w:r>
        <w:t xml:space="preserve"> </w:t>
      </w:r>
      <w:r>
        <w:rPr>
          <w:i/>
          <w:iCs/>
        </w:rPr>
        <w:t xml:space="preserve">Where Trust Begins.</w:t>
      </w:r>
      <w:r>
        <w:t xml:space="preserve"> </w:t>
      </w:r>
      <w:r>
        <w:rPr>
          <w:b/>
          <w:bCs/>
        </w:rPr>
        <w:t xml:space="preserve">Tagline (AR):</w:t>
      </w:r>
      <w:r>
        <w:t xml:space="preserve"> </w:t>
      </w:r>
      <w:r>
        <w:rPr>
          <w:i/>
          <w:iCs/>
        </w:rPr>
        <w:t xml:space="preserve">حِصن… حيث تبدأ الثقة</w:t>
      </w:r>
    </w:p>
    <w:p>
      <w:r>
        <w:pict>
          <v:rect style="width:0;height:1.5pt" o:hralign="center" o:hrstd="t" o:hr="t"/>
        </w:pict>
      </w:r>
    </w:p>
    <w:p>
      <w:pPr>
        <w:pStyle w:val="Heading2"/>
      </w:pPr>
      <w:bookmarkStart w:id="11" w:name="_logo"/>
      <w:r>
        <w:t xml:space="preserve">2. Logo</w:t>
      </w:r>
    </w:p>
    <w:p>
      <w:pPr>
        <w:pStyle w:val="Heading3"/>
      </w:pPr>
      <w:bookmarkStart w:id="12" w:name="_20cd42a97e76d67d86efd61a97ebb6545fb062f"/>
      <w:r>
        <w:t xml:space="preserve">2.1 Primary Lockup (Vertical)</w:t>
      </w:r>
    </w:p>
    <w:p>
      <w:pPr>
        <w:pStyle w:val="Compact"/>
        <w:numPr>
          <w:ilvl w:val="0"/>
          <w:numId w:val="1001"/>
        </w:numPr>
      </w:pPr>
      <w:r>
        <w:t xml:space="preserve">Shield icon (gold + silver)</w:t>
      </w:r>
    </w:p>
    <w:p>
      <w:pPr>
        <w:pStyle w:val="Compact"/>
        <w:numPr>
          <w:ilvl w:val="0"/>
          <w:numId w:val="1001"/>
        </w:numPr>
      </w:pPr>
      <w:r>
        <w:t xml:space="preserve">Wordmark</w:t>
      </w:r>
      <w:r>
        <w:t xml:space="preserve"> </w:t>
      </w:r>
      <w:r>
        <w:t xml:space="preserve">“HISN”</w:t>
      </w:r>
      <w:r>
        <w:t xml:space="preserve"> </w:t>
      </w:r>
      <w:r>
        <w:t xml:space="preserve">(gold)</w:t>
      </w:r>
    </w:p>
    <w:p>
      <w:pPr>
        <w:pStyle w:val="Compact"/>
        <w:numPr>
          <w:ilvl w:val="0"/>
          <w:numId w:val="1001"/>
        </w:numPr>
      </w:pPr>
      <w:r>
        <w:t xml:space="preserve">Arabic wordmark</w:t>
      </w:r>
      <w:r>
        <w:t xml:space="preserve"> </w:t>
      </w:r>
      <w:r>
        <w:t xml:space="preserve">“حِصن”</w:t>
      </w:r>
      <w:r>
        <w:t xml:space="preserve"> </w:t>
      </w:r>
      <w:r>
        <w:t xml:space="preserve">(silver)</w:t>
      </w:r>
    </w:p>
    <w:p>
      <w:pPr>
        <w:pStyle w:val="Compact"/>
        <w:numPr>
          <w:ilvl w:val="0"/>
          <w:numId w:val="1001"/>
        </w:numPr>
      </w:pPr>
      <w:r>
        <w:t xml:space="preserve">Tagline (EN + AR)</w:t>
      </w:r>
    </w:p>
    <w:p>
      <w:pPr>
        <w:pStyle w:val="Heading3"/>
      </w:pPr>
      <w:bookmarkStart w:id="13" w:name="_24d56e70eceef88d892a6e0b278023e162a872c"/>
      <w:r>
        <w:t xml:space="preserve">2.2 Secondary Lockups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Variant</w:t>
            </w:r>
          </w:p>
        </w:tc>
        <w:tc>
          <w:tcPr/>
          <w:p>
            <w:pPr>
              <w:pStyle w:val="Compact"/>
            </w:pPr>
            <w:r>
              <w:t xml:space="preserve">Usage</w:t>
            </w:r>
          </w:p>
        </w:tc>
      </w:tr>
      <w:tr>
        <w:tc>
          <w:tcPr/>
          <w:p>
            <w:pPr>
              <w:pStyle w:val="Compact"/>
            </w:pPr>
            <w:r>
              <w:t xml:space="preserve">Horizontal lockup</w:t>
            </w:r>
          </w:p>
        </w:tc>
        <w:tc>
          <w:tcPr/>
          <w:p>
            <w:pPr>
              <w:pStyle w:val="Compact"/>
            </w:pPr>
            <w:r>
              <w:t xml:space="preserve">Documents, headers</w:t>
            </w:r>
          </w:p>
        </w:tc>
      </w:tr>
      <w:tr>
        <w:tc>
          <w:tcPr/>
          <w:p>
            <w:pPr>
              <w:pStyle w:val="Compact"/>
            </w:pPr>
            <w:r>
              <w:t xml:space="preserve">Shield mark only</w:t>
            </w:r>
          </w:p>
        </w:tc>
        <w:tc>
          <w:tcPr/>
          <w:p>
            <w:pPr>
              <w:pStyle w:val="Compact"/>
            </w:pPr>
            <w:r>
              <w:t xml:space="preserve">Icon, favicon, social</w:t>
            </w:r>
          </w:p>
        </w:tc>
      </w:tr>
      <w:tr>
        <w:tc>
          <w:tcPr/>
          <w:p>
            <w:pPr>
              <w:pStyle w:val="Compact"/>
            </w:pPr>
            <w:r>
              <w:t xml:space="preserve">Bilingual wordmark</w:t>
            </w:r>
          </w:p>
        </w:tc>
        <w:tc>
          <w:tcPr/>
          <w:p>
            <w:pPr>
              <w:pStyle w:val="Compact"/>
            </w:pPr>
            <w:r>
              <w:t xml:space="preserve">Formal documents</w:t>
            </w:r>
          </w:p>
        </w:tc>
      </w:tr>
    </w:tbl>
    <w:p>
      <w:pPr>
        <w:pStyle w:val="Heading3"/>
      </w:pPr>
      <w:bookmarkStart w:id="14" w:name="_56d585f44808dd08feb1700d104380c0d5cf7e5"/>
      <w:r>
        <w:t xml:space="preserve">2.3 Clear Space</w:t>
      </w:r>
    </w:p>
    <w:p>
      <w:pPr>
        <w:pStyle w:val="FirstParagraph"/>
      </w:pPr>
      <w:r>
        <w:t xml:space="preserve">Minimum clear space =</w:t>
      </w:r>
      <w:r>
        <w:t xml:space="preserve"> </w:t>
      </w:r>
      <w:r>
        <w:rPr>
          <w:b/>
          <w:bCs/>
        </w:rPr>
        <w:t xml:space="preserve">height of the</w:t>
      </w:r>
      <w:r>
        <w:rPr>
          <w:b/>
          <w:bCs/>
        </w:rPr>
        <w:t xml:space="preserve"> </w:t>
      </w:r>
      <w:r>
        <w:rPr>
          <w:b/>
          <w:bCs/>
        </w:rPr>
        <w:t xml:space="preserve">“H”</w:t>
      </w:r>
      <w:r>
        <w:t xml:space="preserve"> </w:t>
      </w:r>
      <w:r>
        <w:t xml:space="preserve">on all sides.</w:t>
      </w:r>
    </w:p>
    <w:p>
      <w:pPr>
        <w:pStyle w:val="Heading3"/>
      </w:pPr>
      <w:bookmarkStart w:id="15" w:name="_1c969d85123297d1de0af50ad6799f498142ae1"/>
      <w:r>
        <w:t xml:space="preserve">2.4 Minimum Size</w:t>
      </w:r>
    </w:p>
    <w:p>
      <w:pPr>
        <w:pStyle w:val="Compact"/>
        <w:numPr>
          <w:ilvl w:val="0"/>
          <w:numId w:val="1002"/>
        </w:numPr>
      </w:pPr>
      <w:r>
        <w:t xml:space="preserve">Digital: 32px height</w:t>
      </w:r>
    </w:p>
    <w:p>
      <w:pPr>
        <w:pStyle w:val="Compact"/>
        <w:numPr>
          <w:ilvl w:val="0"/>
          <w:numId w:val="1002"/>
        </w:numPr>
      </w:pPr>
      <w:r>
        <w:t xml:space="preserve">Print: 15mm height</w:t>
      </w:r>
    </w:p>
    <w:p>
      <w:pPr>
        <w:pStyle w:val="Heading3"/>
      </w:pPr>
      <w:bookmarkStart w:id="16" w:name="_3cb589fb290852bf8e89dfbc8b14f194410aa20"/>
      <w:r>
        <w:t xml:space="preserve">2.5 Logo Don’ts</w:t>
      </w:r>
    </w:p>
    <w:p>
      <w:pPr>
        <w:pStyle w:val="Compact"/>
        <w:numPr>
          <w:ilvl w:val="0"/>
          <w:numId w:val="1003"/>
        </w:numPr>
      </w:pPr>
      <w:r>
        <w:t xml:space="preserve">Do not stretch, rotate, or recolor</w:t>
      </w:r>
    </w:p>
    <w:p>
      <w:pPr>
        <w:pStyle w:val="Compact"/>
        <w:numPr>
          <w:ilvl w:val="0"/>
          <w:numId w:val="1003"/>
        </w:numPr>
      </w:pPr>
      <w:r>
        <w:t xml:space="preserve">Do not add effects</w:t>
      </w:r>
    </w:p>
    <w:p>
      <w:pPr>
        <w:pStyle w:val="Compact"/>
        <w:numPr>
          <w:ilvl w:val="0"/>
          <w:numId w:val="1003"/>
        </w:numPr>
      </w:pPr>
      <w:r>
        <w:t xml:space="preserve">Do not place on busy backgrounds without contrast panel</w:t>
      </w:r>
    </w:p>
    <w:p>
      <w:pPr>
        <w:pStyle w:val="Compact"/>
        <w:numPr>
          <w:ilvl w:val="0"/>
          <w:numId w:val="1003"/>
        </w:numPr>
      </w:pPr>
      <w:r>
        <w:t xml:space="preserve">Do not modify the shield proportions</w:t>
      </w:r>
    </w:p>
    <w:p>
      <w:r>
        <w:pict>
          <v:rect style="width:0;height:1.5pt" o:hralign="center" o:hrstd="t" o:hr="t"/>
        </w:pict>
      </w:r>
    </w:p>
    <w:p>
      <w:pPr>
        <w:pStyle w:val="Heading2"/>
      </w:pPr>
      <w:bookmarkStart w:id="17" w:name="_b5dc1b98713c4c0fcade9c9790f5229430890e2"/>
      <w:r>
        <w:t xml:space="preserve">3. Color Palette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Name</w:t>
            </w:r>
          </w:p>
        </w:tc>
        <w:tc>
          <w:tcPr/>
          <w:p>
            <w:pPr>
              <w:pStyle w:val="Compact"/>
            </w:pPr>
            <w:r>
              <w:t xml:space="preserve">Hex</w:t>
            </w:r>
          </w:p>
        </w:tc>
        <w:tc>
          <w:tcPr/>
          <w:p>
            <w:pPr>
              <w:pStyle w:val="Compact"/>
            </w:pPr>
            <w:r>
              <w:t xml:space="preserve">Usage</w:t>
            </w:r>
          </w:p>
        </w:tc>
      </w:tr>
      <w:tr>
        <w:tc>
          <w:tcPr/>
          <w:p>
            <w:pPr>
              <w:pStyle w:val="Compact"/>
            </w:pPr>
            <w:r>
              <w:rPr>
                <w:b/>
                <w:bCs/>
              </w:rPr>
              <w:t xml:space="preserve">HISN Black</w:t>
            </w:r>
          </w:p>
        </w:tc>
        <w:tc>
          <w:tcPr/>
          <w:p>
            <w:pPr>
              <w:pStyle w:val="Compact"/>
            </w:pPr>
            <w:r>
              <w:t xml:space="preserve">#0A0A0A</w:t>
            </w:r>
          </w:p>
        </w:tc>
        <w:tc>
          <w:tcPr/>
          <w:p>
            <w:pPr>
              <w:pStyle w:val="Compact"/>
            </w:pPr>
            <w:r>
              <w:t xml:space="preserve">Primary backgrounds</w:t>
            </w:r>
          </w:p>
        </w:tc>
      </w:tr>
      <w:tr>
        <w:tc>
          <w:tcPr/>
          <w:p>
            <w:pPr>
              <w:pStyle w:val="Compact"/>
            </w:pPr>
            <w:r>
              <w:rPr>
                <w:b/>
                <w:bCs/>
              </w:rPr>
              <w:t xml:space="preserve">HISN Gold</w:t>
            </w:r>
          </w:p>
        </w:tc>
        <w:tc>
          <w:tcPr/>
          <w:p>
            <w:pPr>
              <w:pStyle w:val="Compact"/>
            </w:pPr>
            <w:r>
              <w:t xml:space="preserve">#C9A45B</w:t>
            </w:r>
          </w:p>
        </w:tc>
        <w:tc>
          <w:tcPr/>
          <w:p>
            <w:pPr>
              <w:pStyle w:val="Compact"/>
            </w:pPr>
            <w:r>
              <w:t xml:space="preserve">Primary accent, logo</w:t>
            </w:r>
          </w:p>
        </w:tc>
      </w:tr>
      <w:tr>
        <w:tc>
          <w:tcPr/>
          <w:p>
            <w:pPr>
              <w:pStyle w:val="Compact"/>
            </w:pPr>
            <w:r>
              <w:rPr>
                <w:b/>
                <w:bCs/>
              </w:rPr>
              <w:t xml:space="preserve">HISN Silver</w:t>
            </w:r>
          </w:p>
        </w:tc>
        <w:tc>
          <w:tcPr/>
          <w:p>
            <w:pPr>
              <w:pStyle w:val="Compact"/>
            </w:pPr>
            <w:r>
              <w:t xml:space="preserve">#B8B8B8</w:t>
            </w:r>
          </w:p>
        </w:tc>
        <w:tc>
          <w:tcPr/>
          <w:p>
            <w:pPr>
              <w:pStyle w:val="Compact"/>
            </w:pPr>
            <w:r>
              <w:t xml:space="preserve">Secondary accent, text</w:t>
            </w:r>
          </w:p>
        </w:tc>
      </w:tr>
      <w:tr>
        <w:tc>
          <w:tcPr/>
          <w:p>
            <w:pPr>
              <w:pStyle w:val="Compact"/>
            </w:pPr>
            <w:r>
              <w:rPr>
                <w:b/>
                <w:bCs/>
              </w:rPr>
              <w:t xml:space="preserve">HISN Ivory</w:t>
            </w:r>
          </w:p>
        </w:tc>
        <w:tc>
          <w:tcPr/>
          <w:p>
            <w:pPr>
              <w:pStyle w:val="Compact"/>
            </w:pPr>
            <w:r>
              <w:t xml:space="preserve">#F5F0E6</w:t>
            </w:r>
          </w:p>
        </w:tc>
        <w:tc>
          <w:tcPr/>
          <w:p>
            <w:pPr>
              <w:pStyle w:val="Compact"/>
            </w:pPr>
            <w:r>
              <w:t xml:space="preserve">Light backgrounds</w:t>
            </w:r>
          </w:p>
        </w:tc>
      </w:tr>
      <w:tr>
        <w:tc>
          <w:tcPr/>
          <w:p>
            <w:pPr>
              <w:pStyle w:val="Compact"/>
            </w:pPr>
            <w:r>
              <w:rPr>
                <w:b/>
                <w:bCs/>
              </w:rPr>
              <w:t xml:space="preserve">HISN Success</w:t>
            </w:r>
          </w:p>
        </w:tc>
        <w:tc>
          <w:tcPr/>
          <w:p>
            <w:pPr>
              <w:pStyle w:val="Compact"/>
            </w:pPr>
            <w:r>
              <w:t xml:space="preserve">#1E7B4A</w:t>
            </w:r>
          </w:p>
        </w:tc>
        <w:tc>
          <w:tcPr/>
          <w:p>
            <w:pPr>
              <w:pStyle w:val="Compact"/>
            </w:pPr>
            <w:r>
              <w:t xml:space="preserve">Positive indicators</w:t>
            </w:r>
          </w:p>
        </w:tc>
      </w:tr>
      <w:tr>
        <w:tc>
          <w:tcPr/>
          <w:p>
            <w:pPr>
              <w:pStyle w:val="Compact"/>
            </w:pPr>
            <w:r>
              <w:rPr>
                <w:b/>
                <w:bCs/>
              </w:rPr>
              <w:t xml:space="preserve">HISN Alert</w:t>
            </w:r>
          </w:p>
        </w:tc>
        <w:tc>
          <w:tcPr/>
          <w:p>
            <w:pPr>
              <w:pStyle w:val="Compact"/>
            </w:pPr>
            <w:r>
              <w:t xml:space="preserve">#B8472D</w:t>
            </w:r>
          </w:p>
        </w:tc>
        <w:tc>
          <w:tcPr/>
          <w:p>
            <w:pPr>
              <w:pStyle w:val="Compact"/>
            </w:pPr>
            <w:r>
              <w:t xml:space="preserve">Negative indicators</w:t>
            </w:r>
          </w:p>
        </w:tc>
      </w:tr>
    </w:tbl>
    <w:p>
      <w:r>
        <w:pict>
          <v:rect style="width:0;height:1.5pt" o:hralign="center" o:hrstd="t" o:hr="t"/>
        </w:pict>
      </w:r>
    </w:p>
    <w:p>
      <w:pPr>
        <w:pStyle w:val="Heading2"/>
      </w:pPr>
      <w:bookmarkStart w:id="18" w:name="_typography"/>
      <w:r>
        <w:t xml:space="preserve">4. Typography</w:t>
      </w:r>
    </w:p>
    <w:p>
      <w:pPr>
        <w:pStyle w:val="Heading3"/>
      </w:pPr>
      <w:bookmarkStart w:id="19" w:name="_english"/>
      <w:r>
        <w:t xml:space="preserve">4.1 English</w:t>
      </w:r>
    </w:p>
    <w:p>
      <w:pPr>
        <w:pStyle w:val="FirstParagraph"/>
      </w:pPr>
      <w:r>
        <w:rPr>
          <w:b/>
          <w:bCs/>
        </w:rPr>
        <w:t xml:space="preserve">Primary:</w:t>
      </w:r>
      <w:r>
        <w:t xml:space="preserve"> </w:t>
      </w:r>
      <w:r>
        <w:t xml:space="preserve">Montserrat</w:t>
      </w:r>
      <w:r>
        <w:t xml:space="preserve"> </w:t>
      </w:r>
      <w:r>
        <w:t xml:space="preserve">- Headings: Bold / SemiBold</w:t>
      </w:r>
      <w:r>
        <w:t xml:space="preserve"> </w:t>
      </w:r>
      <w:r>
        <w:t xml:space="preserve">- Body: Regular / Medium</w:t>
      </w:r>
      <w:r>
        <w:t xml:space="preserve"> </w:t>
      </w:r>
      <w:r>
        <w:t xml:space="preserve">- Monospace: JetBrains Mono</w:t>
      </w:r>
    </w:p>
    <w:p>
      <w:pPr>
        <w:pStyle w:val="Heading3"/>
      </w:pPr>
      <w:bookmarkStart w:id="20" w:name="_arabic"/>
      <w:r>
        <w:t xml:space="preserve">4.2 Arabic</w:t>
      </w:r>
    </w:p>
    <w:p>
      <w:pPr>
        <w:pStyle w:val="FirstParagraph"/>
      </w:pPr>
      <w:r>
        <w:rPr>
          <w:b/>
          <w:bCs/>
        </w:rPr>
        <w:t xml:space="preserve">Primary:</w:t>
      </w:r>
      <w:r>
        <w:t xml:space="preserve"> </w:t>
      </w:r>
      <w:r>
        <w:t xml:space="preserve">Tajawal</w:t>
      </w:r>
      <w:r>
        <w:t xml:space="preserve"> </w:t>
      </w:r>
      <w:r>
        <w:t xml:space="preserve">- Headings: Bold</w:t>
      </w:r>
      <w:r>
        <w:t xml:space="preserve"> </w:t>
      </w:r>
      <w:r>
        <w:t xml:space="preserve">- Body: Regular</w:t>
      </w:r>
    </w:p>
    <w:p>
      <w:pPr>
        <w:pStyle w:val="Heading3"/>
      </w:pPr>
      <w:bookmarkStart w:id="21" w:name="_hierarchy"/>
      <w:r>
        <w:t xml:space="preserve">4.3 Hierarchy</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Level</w:t>
            </w:r>
          </w:p>
        </w:tc>
        <w:tc>
          <w:tcPr/>
          <w:p>
            <w:pPr>
              <w:pStyle w:val="Compact"/>
            </w:pPr>
            <w:r>
              <w:t xml:space="preserve">Size</w:t>
            </w:r>
          </w:p>
        </w:tc>
        <w:tc>
          <w:tcPr/>
          <w:p>
            <w:pPr>
              <w:pStyle w:val="Compact"/>
            </w:pPr>
            <w:r>
              <w:t xml:space="preserve">Weight</w:t>
            </w:r>
          </w:p>
        </w:tc>
      </w:tr>
      <w:tr>
        <w:tc>
          <w:tcPr/>
          <w:p>
            <w:pPr>
              <w:pStyle w:val="Compact"/>
            </w:pPr>
            <w:r>
              <w:t xml:space="preserve">H1</w:t>
            </w:r>
          </w:p>
        </w:tc>
        <w:tc>
          <w:tcPr/>
          <w:p>
            <w:pPr>
              <w:pStyle w:val="Compact"/>
            </w:pPr>
            <w:r>
              <w:t xml:space="preserve">28pt</w:t>
            </w:r>
          </w:p>
        </w:tc>
        <w:tc>
          <w:tcPr/>
          <w:p>
            <w:pPr>
              <w:pStyle w:val="Compact"/>
            </w:pPr>
            <w:r>
              <w:t xml:space="preserve">Bold</w:t>
            </w:r>
          </w:p>
        </w:tc>
      </w:tr>
      <w:tr>
        <w:tc>
          <w:tcPr/>
          <w:p>
            <w:pPr>
              <w:pStyle w:val="Compact"/>
            </w:pPr>
            <w:r>
              <w:t xml:space="preserve">H2</w:t>
            </w:r>
          </w:p>
        </w:tc>
        <w:tc>
          <w:tcPr/>
          <w:p>
            <w:pPr>
              <w:pStyle w:val="Compact"/>
            </w:pPr>
            <w:r>
              <w:t xml:space="preserve">20pt</w:t>
            </w:r>
          </w:p>
        </w:tc>
        <w:tc>
          <w:tcPr/>
          <w:p>
            <w:pPr>
              <w:pStyle w:val="Compact"/>
            </w:pPr>
            <w:r>
              <w:t xml:space="preserve">SemiBold</w:t>
            </w:r>
          </w:p>
        </w:tc>
      </w:tr>
      <w:tr>
        <w:tc>
          <w:tcPr/>
          <w:p>
            <w:pPr>
              <w:pStyle w:val="Compact"/>
            </w:pPr>
            <w:r>
              <w:t xml:space="preserve">H3</w:t>
            </w:r>
          </w:p>
        </w:tc>
        <w:tc>
          <w:tcPr/>
          <w:p>
            <w:pPr>
              <w:pStyle w:val="Compact"/>
            </w:pPr>
            <w:r>
              <w:t xml:space="preserve">15pt</w:t>
            </w:r>
          </w:p>
        </w:tc>
        <w:tc>
          <w:tcPr/>
          <w:p>
            <w:pPr>
              <w:pStyle w:val="Compact"/>
            </w:pPr>
            <w:r>
              <w:t xml:space="preserve">Medium</w:t>
            </w:r>
          </w:p>
        </w:tc>
      </w:tr>
      <w:tr>
        <w:tc>
          <w:tcPr/>
          <w:p>
            <w:pPr>
              <w:pStyle w:val="Compact"/>
            </w:pPr>
            <w:r>
              <w:t xml:space="preserve">Body</w:t>
            </w:r>
          </w:p>
        </w:tc>
        <w:tc>
          <w:tcPr/>
          <w:p>
            <w:pPr>
              <w:pStyle w:val="Compact"/>
            </w:pPr>
            <w:r>
              <w:t xml:space="preserve">11pt</w:t>
            </w:r>
          </w:p>
        </w:tc>
        <w:tc>
          <w:tcPr/>
          <w:p>
            <w:pPr>
              <w:pStyle w:val="Compact"/>
            </w:pPr>
            <w:r>
              <w:t xml:space="preserve">Regular</w:t>
            </w:r>
          </w:p>
        </w:tc>
      </w:tr>
      <w:tr>
        <w:tc>
          <w:tcPr/>
          <w:p>
            <w:pPr>
              <w:pStyle w:val="Compact"/>
            </w:pPr>
            <w:r>
              <w:t xml:space="preserve">Caption</w:t>
            </w:r>
          </w:p>
        </w:tc>
        <w:tc>
          <w:tcPr/>
          <w:p>
            <w:pPr>
              <w:pStyle w:val="Compact"/>
            </w:pPr>
            <w:r>
              <w:t xml:space="preserve">9pt</w:t>
            </w:r>
          </w:p>
        </w:tc>
        <w:tc>
          <w:tcPr/>
          <w:p>
            <w:pPr>
              <w:pStyle w:val="Compact"/>
            </w:pPr>
            <w:r>
              <w:t xml:space="preserve">Regular</w:t>
            </w:r>
          </w:p>
        </w:tc>
      </w:tr>
    </w:tbl>
    <w:p>
      <w:r>
        <w:pict>
          <v:rect style="width:0;height:1.5pt" o:hralign="center" o:hrstd="t" o:hr="t"/>
        </w:pict>
      </w:r>
    </w:p>
    <w:p>
      <w:pPr>
        <w:pStyle w:val="Heading2"/>
      </w:pPr>
      <w:bookmarkStart w:id="22" w:name="_7804a116805af1e6c7df766c7022ed1678bd102"/>
      <w:r>
        <w:t xml:space="preserve">5. Voice &amp; Tone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Context</w:t>
            </w:r>
          </w:p>
        </w:tc>
        <w:tc>
          <w:tcPr/>
          <w:p>
            <w:pPr>
              <w:pStyle w:val="Compact"/>
            </w:pPr>
            <w:r>
              <w:t xml:space="preserve">Voice</w:t>
            </w:r>
          </w:p>
        </w:tc>
        <w:tc>
          <w:tcPr/>
          <w:p>
            <w:pPr>
              <w:pStyle w:val="Compact"/>
            </w:pPr>
            <w:r>
              <w:t xml:space="preserve">Example</w:t>
            </w:r>
          </w:p>
        </w:tc>
      </w:tr>
      <w:tr>
        <w:tc>
          <w:tcPr/>
          <w:p>
            <w:pPr>
              <w:pStyle w:val="Compact"/>
            </w:pPr>
            <w:r>
              <w:t xml:space="preserve">Governance docs</w:t>
            </w:r>
          </w:p>
        </w:tc>
        <w:tc>
          <w:tcPr/>
          <w:p>
            <w:pPr>
              <w:pStyle w:val="Compact"/>
            </w:pPr>
            <w:r>
              <w:t xml:space="preserve">Formal, precise</w:t>
            </w:r>
          </w:p>
        </w:tc>
        <w:tc>
          <w:tcPr/>
          <w:p>
            <w:pPr>
              <w:pStyle w:val="Compact"/>
            </w:pPr>
            <w:r>
              <w:t xml:space="preserve">“The classification is MANAGEMENT ASSUMPTION.”</w:t>
            </w:r>
          </w:p>
        </w:tc>
      </w:tr>
      <w:tr>
        <w:tc>
          <w:tcPr/>
          <w:p>
            <w:pPr>
              <w:pStyle w:val="Compact"/>
            </w:pPr>
            <w:r>
              <w:t xml:space="preserve">Investor materials</w:t>
            </w:r>
          </w:p>
        </w:tc>
        <w:tc>
          <w:tcPr/>
          <w:p>
            <w:pPr>
              <w:pStyle w:val="Compact"/>
            </w:pPr>
            <w:r>
              <w:t xml:space="preserve">Evidence-based, no hype</w:t>
            </w:r>
          </w:p>
        </w:tc>
        <w:tc>
          <w:tcPr/>
          <w:p>
            <w:pPr>
              <w:pStyle w:val="Compact"/>
            </w:pPr>
            <w:r>
              <w:t xml:space="preserve">“Forecast only. Not a guarantee.”</w:t>
            </w:r>
          </w:p>
        </w:tc>
      </w:tr>
      <w:tr>
        <w:tc>
          <w:tcPr/>
          <w:p>
            <w:pPr>
              <w:pStyle w:val="Compact"/>
            </w:pPr>
            <w:r>
              <w:t xml:space="preserve">Bank-facing</w:t>
            </w:r>
          </w:p>
        </w:tc>
        <w:tc>
          <w:tcPr/>
          <w:p>
            <w:pPr>
              <w:pStyle w:val="Compact"/>
            </w:pPr>
            <w:r>
              <w:t xml:space="preserve">Regulatory-aware</w:t>
            </w:r>
          </w:p>
        </w:tc>
        <w:tc>
          <w:tcPr/>
          <w:p>
            <w:pPr>
              <w:pStyle w:val="Compact"/>
            </w:pPr>
            <w:r>
              <w:t xml:space="preserve">“Designed for alignment with SAMA CSF. Not certified.”</w:t>
            </w:r>
          </w:p>
        </w:tc>
      </w:tr>
      <w:tr>
        <w:tc>
          <w:tcPr/>
          <w:p>
            <w:pPr>
              <w:pStyle w:val="Compact"/>
            </w:pPr>
            <w:r>
              <w:t xml:space="preserve">Internal</w:t>
            </w:r>
          </w:p>
        </w:tc>
        <w:tc>
          <w:tcPr/>
          <w:p>
            <w:pPr>
              <w:pStyle w:val="Compact"/>
            </w:pPr>
            <w:r>
              <w:t xml:space="preserve">Direct, actionable</w:t>
            </w:r>
          </w:p>
        </w:tc>
        <w:tc>
          <w:tcPr/>
          <w:p>
            <w:pPr>
              <w:pStyle w:val="Compact"/>
            </w:pPr>
            <w:r>
              <w:t xml:space="preserve">“Execute File 08 interviews with 5+ institutions.”</w:t>
            </w:r>
          </w:p>
        </w:tc>
      </w:tr>
    </w:tbl>
    <w:p>
      <w:r>
        <w:pict>
          <v:rect style="width:0;height:1.5pt" o:hralign="center" o:hrstd="t" o:hr="t"/>
        </w:pict>
      </w:r>
    </w:p>
    <w:p>
      <w:pPr>
        <w:pStyle w:val="Heading2"/>
      </w:pPr>
      <w:bookmarkStart w:id="23" w:name="_boilerplate"/>
      <w:r>
        <w:t xml:space="preserve">6. Boilerplate</w:t>
      </w:r>
    </w:p>
    <w:p>
      <w:pPr>
        <w:pStyle w:val="Heading3"/>
      </w:pPr>
      <w:bookmarkStart w:id="24" w:name="_66171341cd3cd1cac9516991393b0eb5fdea4b4"/>
      <w:r>
        <w:t xml:space="preserve">6.1 Short (25 words)</w:t>
      </w:r>
    </w:p>
    <w:p>
      <w:pPr>
        <w:pStyle w:val="BlockText"/>
      </w:pPr>
      <w:r>
        <w:t xml:space="preserve">HISN is a Financial Crime Decision Operating System (FCDOS) designed for regulated financial institutions in Saudi Arabia and the GCC.</w:t>
      </w:r>
    </w:p>
    <w:p>
      <w:pPr>
        <w:pStyle w:val="Heading3"/>
      </w:pPr>
      <w:bookmarkStart w:id="25" w:name="_1ff4097a1ef7ada670b1092aad2721e512fbc73"/>
      <w:r>
        <w:t xml:space="preserve">6.2 Medium (60 words)</w:t>
      </w:r>
    </w:p>
    <w:p>
      <w:pPr>
        <w:pStyle w:val="BlockText"/>
      </w:pPr>
      <w:r>
        <w:t xml:space="preserve">HISN is a Financial Crime Decision Operating System (FCDOS) that unifies financial crime signals, identity, evidence, policy, and audit into a single governed decision lifecycle. Designed for regulated financial institutions in Saudi Arabia and the GCC, HISN is pre-revenue, pre-customer, and pre-institutional funding as of October 2026.</w:t>
      </w:r>
    </w:p>
    <w:p>
      <w:pPr>
        <w:pStyle w:val="Heading3"/>
      </w:pPr>
      <w:bookmarkStart w:id="26" w:name="_7c44875a2d4a198028f6816bc1a055ea283eeb8"/>
      <w:r>
        <w:t xml:space="preserve">6.3 Long (100 words)</w:t>
      </w:r>
    </w:p>
    <w:p>
      <w:pPr>
        <w:pStyle w:val="BlockText"/>
      </w:pPr>
      <w:r>
        <w:t xml:space="preserve">HISN is a Financial Crime Decision Operating System (FCDOS) designed for regulated financial institutions in Saudi Arabia and the GCC. HISN binds signals, evidence, policy, and audit into a single governed decision record, enabling explainable and reproducible financial crime decisions. The platform supports AML, fraud, sanctions, KYC, KYB, and graph intelligence within one canonical decision runtime. HISN is currently pre-revenue, pre-customer, and pre-institutional funding. All commercial metrics presented in HISN materials are classified as MANAGEMENT ASSUMPTION or SCENARIO, and no regulatory approval or certification is claimed.</w:t>
      </w:r>
    </w:p>
    <w:p>
      <w:r>
        <w:pict>
          <v:rect style="width:0;height:1.5pt" o:hralign="center" o:hrstd="t" o:hr="t"/>
        </w:pict>
      </w:r>
    </w:p>
    <w:p>
      <w:pPr>
        <w:pStyle w:val="Heading2"/>
      </w:pPr>
      <w:bookmarkStart w:id="27" w:name="_e2c53832e6fb0c9aa7a3a72ba27d537ec8e370a"/>
      <w:r>
        <w:t xml:space="preserve">7. Approved Taglines</w:t>
      </w:r>
    </w:p>
    <w:p>
      <w:pPr>
        <w:pStyle w:val="Compact"/>
        <w:numPr>
          <w:ilvl w:val="0"/>
          <w:numId w:val="1004"/>
        </w:numPr>
      </w:pPr>
      <w:r>
        <w:rPr>
          <w:b/>
          <w:bCs/>
        </w:rPr>
        <w:t xml:space="preserve">EN:</w:t>
      </w:r>
      <w:r>
        <w:t xml:space="preserve"> </w:t>
      </w:r>
      <w:r>
        <w:t xml:space="preserve">Where Trust Begins.</w:t>
      </w:r>
    </w:p>
    <w:p>
      <w:pPr>
        <w:pStyle w:val="Compact"/>
        <w:numPr>
          <w:ilvl w:val="0"/>
          <w:numId w:val="1004"/>
        </w:numPr>
      </w:pPr>
      <w:r>
        <w:rPr>
          <w:b/>
          <w:bCs/>
        </w:rPr>
        <w:t xml:space="preserve">AR:</w:t>
      </w:r>
      <w:r>
        <w:t xml:space="preserve"> </w:t>
      </w:r>
      <w:r>
        <w:t xml:space="preserve">حِصن… حيث تبدأ الثقة</w:t>
      </w:r>
    </w:p>
    <w:p>
      <w:pPr>
        <w:pStyle w:val="Compact"/>
        <w:numPr>
          <w:ilvl w:val="0"/>
          <w:numId w:val="1004"/>
        </w:numPr>
      </w:pPr>
      <w:r>
        <w:rPr>
          <w:b/>
          <w:bCs/>
        </w:rPr>
        <w:t xml:space="preserve">Supporting:</w:t>
      </w:r>
      <w:r>
        <w:t xml:space="preserve"> </w:t>
      </w:r>
      <w:r>
        <w:t xml:space="preserve">Trust · Intelligence · Impact</w:t>
      </w:r>
    </w:p>
    <w:p>
      <w:r>
        <w:pict>
          <v:rect style="width:0;height:1.5pt" o:hralign="center" o:hrstd="t" o:hr="t"/>
        </w:pict>
      </w:r>
    </w:p>
    <w:p>
      <w:pPr>
        <w:pStyle w:val="Heading2"/>
      </w:pPr>
      <w:bookmarkStart w:id="28" w:name="_b7d13ff21196e0996380082f2ad1718aaaed816"/>
      <w:r>
        <w:t xml:space="preserve">8. Visual Do’s and Don’ts</w:t>
      </w:r>
    </w:p>
    <w:p>
      <w:pPr>
        <w:pStyle w:val="FirstParagraph"/>
      </w:pPr>
      <w:r>
        <w:rPr>
          <w:b/>
          <w:bCs/>
        </w:rPr>
        <w:t xml:space="preserve">Do:</w:t>
      </w:r>
      <w:r>
        <w:t xml:space="preserve"> </w:t>
      </w:r>
      <w:r>
        <w:t xml:space="preserve">- Use official logo files only</w:t>
      </w:r>
      <w:r>
        <w:t xml:space="preserve"> </w:t>
      </w:r>
      <w:r>
        <w:t xml:space="preserve">- Maintain clear space</w:t>
      </w:r>
      <w:r>
        <w:t xml:space="preserve"> </w:t>
      </w:r>
      <w:r>
        <w:t xml:space="preserve">- Use approved colors</w:t>
      </w:r>
      <w:r>
        <w:t xml:space="preserve"> </w:t>
      </w:r>
      <w:r>
        <w:t xml:space="preserve">- Apply Montserrat / Tajawal</w:t>
      </w:r>
      <w:r>
        <w:t xml:space="preserve"> </w:t>
      </w:r>
      <w:r>
        <w:t xml:space="preserve">- Credit sources for external claims</w:t>
      </w:r>
      <w:r>
        <w:t xml:space="preserve"> </w:t>
      </w:r>
      <w:r>
        <w:t xml:space="preserve">- Mark every numerical claim with provenance</w:t>
      </w:r>
    </w:p>
    <w:p>
      <w:pPr>
        <w:pStyle w:val="BodyText"/>
      </w:pPr>
      <w:r>
        <w:rPr>
          <w:b/>
          <w:bCs/>
        </w:rPr>
        <w:t xml:space="preserve">Don’t:</w:t>
      </w:r>
      <w:r>
        <w:t xml:space="preserve"> </w:t>
      </w:r>
      <w:r>
        <w:t xml:space="preserve">- Recolor, stretch, or rotate the logo</w:t>
      </w:r>
      <w:r>
        <w:t xml:space="preserve"> </w:t>
      </w:r>
      <w:r>
        <w:t xml:space="preserve">- Use unapproved fonts</w:t>
      </w:r>
      <w:r>
        <w:t xml:space="preserve"> </w:t>
      </w:r>
      <w:r>
        <w:t xml:space="preserve">- Make unverified claims</w:t>
      </w:r>
      <w:r>
        <w:t xml:space="preserve"> </w:t>
      </w:r>
      <w:r>
        <w:t xml:space="preserve">- Claim</w:t>
      </w:r>
      <w:r>
        <w:t xml:space="preserve"> </w:t>
      </w:r>
      <w:r>
        <w:t xml:space="preserve">“SAMA-certified”</w:t>
      </w:r>
      <w:r>
        <w:t xml:space="preserve"> </w:t>
      </w:r>
      <w:r>
        <w:t xml:space="preserve">or</w:t>
      </w:r>
      <w:r>
        <w:t xml:space="preserve"> </w:t>
      </w:r>
      <w:r>
        <w:t xml:space="preserve">“bank-grade certified”</w:t>
      </w:r>
      <w:r>
        <w:t xml:space="preserve"> </w:t>
      </w:r>
      <w:r>
        <w:t xml:space="preserve">- Present forecasts as facts</w:t>
      </w:r>
      <w:r>
        <w:t xml:space="preserve"> </w:t>
      </w:r>
      <w:r>
        <w:t xml:space="preserve">- Omit source provenance</w:t>
      </w:r>
    </w:p>
    <w:p>
      <w:r>
        <w:pict>
          <v:rect style="width:0;height:1.5pt" o:hralign="center" o:hrstd="t" o:hr="t"/>
        </w:pict>
      </w:r>
    </w:p>
    <w:p>
      <w:pPr>
        <w:pStyle w:val="FirstParagraph"/>
      </w:pPr>
      <w:r>
        <w:rPr>
          <w:i/>
          <w:iCs/>
        </w:rPr>
        <w:t xml:space="preserve">Brand Book is the authoritative reference for all HISN materials.</w:t>
      </w:r>
    </w:p>
    <w:sectPr>
      <w:headerReference w:type="default" r:id="rId9"/>
      <w:footerReference w:type="default" r:id="rId10"/>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80" w:after="40"/>
      <w:jc w:val="center"/>
      <w:pBdr>
        <w:top w:val="single" w:sz="8" w:space="6" w:color="C9A45B"/>
      </w:pBdr>
    </w:pPr>
    <w:r>
      <w:rPr>
        <w:rFonts w:ascii="Cairo" w:hAnsi="Cairo" w:cs="Cairo"/>
        <w:b/>
        <w:color w:val="0A0A0A"/>
        <w:sz w:val="16"/>
      </w:rPr>
      <w:t xml:space="preserve">HISN FCDOS — Where Trust Begins.   حِصْن ... حيث تبدأ الثقة   |   </w:t>
    </w:r>
    <w:r>
      <w:rPr>
        <w:rFonts w:ascii="Cairo" w:hAnsi="Cairo" w:cs="Cairo"/>
        <w:b/>
        <w:color w:val="C9A45B"/>
        <w:sz w:val="16"/>
      </w:rPr>
      <w:t>Brand</w:t>
    </w:r>
    <w:r>
      <w:rPr>
        <w:rFonts w:ascii="Cairo" w:hAnsi="Cairo" w:cs="Cairo"/>
        <w:b/>
        <w:color w:val="0A0A0A"/>
        <w:sz w:val="16"/>
      </w:rPr>
      <w:t xml:space="preserve">   |   Page </w:t>
      <w:fldChar w:fldCharType="begin"/>
      <w:instrText xml:space="preserve">PAGE</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40" w:after="80"/>
      <w:jc w:val="left"/>
      <w:tabs>
        <w:tab w:val="center" w:pos="4680"/>
        <w:tab w:val="right" w:pos="9360"/>
      </w:tabs>
      <w:pBdr>
        <w:bottom w:val="single" w:sz="12" w:space="6" w:color="C9A45B"/>
      </w:pBdr>
    </w:pPr>
    <w:r>
      <w:drawing>
        <wp:inline xmlns:a="http://schemas.openxmlformats.org/drawingml/2006/main" xmlns:pic="http://schemas.openxmlformats.org/drawingml/2006/picture">
          <wp:extent cx="822960" cy="822960"/>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822960" cy="822960"/>
                  </a:xfrm>
                  <a:prstGeom prst="rect"/>
                </pic:spPr>
              </pic:pic>
            </a:graphicData>
          </a:graphic>
        </wp:inline>
      </w:drawing>
    </w:r>
    <w:r>
      <w:rPr>
        <w:rFonts w:ascii="Cairo" w:hAnsi="Cairo" w:cs="Cairo"/>
        <w:sz w:val="28"/>
      </w:rPr>
      <w:tab/>
    </w:r>
    <w:r>
      <w:rPr>
        <w:rFonts w:ascii="Cairo" w:hAnsi="Cairo" w:cs="Cairo"/>
        <w:b/>
        <w:color w:val="C9A45B"/>
        <w:sz w:val="28"/>
      </w:rPr>
      <w:t>HISN FCDOS</w:t>
    </w:r>
    <w:r>
      <w:rPr>
        <w:rFonts w:ascii="Cairo" w:hAnsi="Cairo" w:cs="Cairo"/>
        <w:sz w:val="20"/>
      </w:rPr>
      <w:tab/>
    </w:r>
    <w:r>
      <w:rPr>
        <w:rFonts w:ascii="Cairo" w:hAnsi="Cairo" w:cs="Cairo"/>
        <w:b/>
        <w:color w:val="B8472D"/>
        <w:sz w:val="20"/>
      </w:rPr>
      <w:t>CONFIDENTIAL</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line="240" w:lineRule="auto"/>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rFonts w:eastAsiaTheme="majorEastAsia" w:cstheme="majorBidi"/>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paragraph" w:styleId="FootnoteBlockText">
    <w:name w:val="Footnote Block Text"/>
    <w:basedOn w:val="FootnoteText"/>
    <w:next w:val="FootnoteText"/>
    <w:uiPriority w:val="9"/>
    <w:unhideWhenUsed/>
    <w:qFormat/>
    <w:pPr>
      <w:spacing w:before="100" w:after="100"/>
      <w:ind w:firstLine="0" w:left="480" w:right="480"/>
    </w:pPr>
  </w:style>
  <w:style w:type="character" w:default="1" w:styleId="DefaultParagraphFont">
    <w:name w:val="Default Paragraph Font"/>
    <w:semiHidden/>
    <w:unhideWhenUsed/>
  </w:style>
  <w:style w:type="table" w:default="1" w:styleId="Table">
    <w:name w:val="Table"/>
    <w:basedOn w:val="TableNormal"/>
    <w:qFormat/>
    <w:tblPr>
      <w:tblInd w:w="0" w:type="dxa"/>
      <w:tblCellMar>
        <w:top w:w="0" w:type="dxa"/>
        <w:left w:w="108" w:type="dxa"/>
        <w:bottom w:w="0" w:type="dxa"/>
        <w:right w:w="108" w:type="dxa"/>
      </w:tblCellMar>
    </w:tblPr>
    <w:tblStylePr w:type="firstRow">
      <w:tcPr>
        <w:tcBorders>
          <w:bottom w:val="single"/>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customStyle="1" w:styleId="SectionNumber">
    <w:name w:val="Section Number"/>
    <w:basedOn w:val="BodyTextCha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BRAND BOOK</dc:title>
  <dc:creator>HISN Platform</dc:creator>
  <cp:keywords>HISN, FCDOS, financial crime, decision operating system</cp:keywords>
  <dcterms:created xsi:type="dcterms:W3CDTF">2026-10-14T12:11:00Z</dcterms:created>
  <dcterms:modified xsi:type="dcterms:W3CDTF">2026-10-14T12:11:00Z</dcterms:modified>
  <cp:lastModifiedBy>HISN Platform</cp:lastModifiedBy>
  <dc:description/>
  <cp:category>HISN FCDOS — Investor Data Room</cp:category>
  <cp:contentStatus>Confidential</cp:contentStatus>
  <dc:identifier/>
  <dc:language>en-US</dc:language>
  <dc:subject>HISN FCDOS Investor Data Room</dc:subject>
</cp:coreProperties>
</file>

<file path=docProps/custom.xml><?xml version="1.0" encoding="utf-8"?>
<Properties xmlns="http://schemas.openxmlformats.org/officeDocument/2006/custom-properties" xmlns:vt="http://schemas.openxmlformats.org/officeDocument/2006/docPropsVTypes"/>
</file>