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STYLE_GUIDE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a8a617c1159323520f644a56aba92e64978a6e8"/>
      <w:r>
        <w:t xml:space="preserve">HISN — DOCUMENT STYLE GUIDE</w:t>
      </w:r>
    </w:p>
    <w:p>
      <w:pPr>
        <w:pStyle w:val="FirstParagraph"/>
      </w:pPr>
      <w:r>
        <w:rPr>
          <w:b/>
          <w:bCs/>
        </w:rPr>
        <w:t xml:space="preserve">Applies to:</w:t>
      </w:r>
      <w:r>
        <w:t xml:space="preserve"> </w:t>
      </w:r>
      <w:r>
        <w:t xml:space="preserve">All documents in the Data Room.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e0ac925ca2112514bc58a7b97f2964426e22215"/>
      <w:r>
        <w:t xml:space="preserve">1. Document Anatomy</w:t>
      </w:r>
    </w:p>
    <w:p>
      <w:pPr>
        <w:pStyle w:val="FirstParagraph"/>
      </w:pPr>
      <w:r>
        <w:t xml:space="preserve">Every HISN document follows this structure: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Cover</w:t>
      </w:r>
      <w:r>
        <w:t xml:space="preserve"> </w:t>
      </w:r>
      <w:r>
        <w:t xml:space="preserve">(logo + title + version + date + classification)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Document Control Table</w:t>
      </w:r>
      <w:r>
        <w:t xml:space="preserve"> </w:t>
      </w:r>
      <w:r>
        <w:t xml:space="preserve">(owner, version, status, basis)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References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Disclaimer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Footer</w:t>
      </w:r>
      <w:r>
        <w:t xml:space="preserve"> </w:t>
      </w:r>
      <w:r>
        <w:t xml:space="preserve">(logo mark + page number)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42a899614c8d6d8bdbdc0ed8207c9329c744463"/>
      <w:r>
        <w:t xml:space="preserve">2. Document Control Table</w:t>
      </w:r>
    </w:p>
    <w:p>
      <w:pPr>
        <w:pStyle w:val="FirstParagraph"/>
      </w:pPr>
      <w:r>
        <w:t xml:space="preserve">Every document begins with this table: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[Title]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v1.0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YYYY-MM-DD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[Role — e.g., CFO, CTO, CISO]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 / Internal / Public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Draft / Framework / Final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[Source description]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[Known gaps]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984044bb168078cee28c0bf30529a3ca8452761"/>
      <w:r>
        <w:t xml:space="preserve">3. Provenance Tags (Mandatory)</w:t>
      </w:r>
    </w:p>
    <w:p>
      <w:pPr>
        <w:pStyle w:val="FirstParagraph"/>
      </w:pPr>
      <w:r>
        <w:t xml:space="preserve">Every numerical or factual claim must carry one of: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ACTUAL</w:t>
            </w:r>
          </w:p>
        </w:tc>
        <w:tc>
          <w:tcPr/>
          <w:p>
            <w:pPr>
              <w:pStyle w:val="Compact"/>
            </w:pPr>
            <w:r>
              <w:t xml:space="preserve">Verified, measured value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EXTERNAL FACT</w:t>
            </w:r>
          </w:p>
        </w:tc>
        <w:tc>
          <w:tcPr/>
          <w:p>
            <w:pPr>
              <w:pStyle w:val="Compact"/>
            </w:pPr>
            <w:r>
              <w:t xml:space="preserve">Sourced from citable external 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MANAGEMENT ASSUMPTION</w:t>
            </w:r>
          </w:p>
        </w:tc>
        <w:tc>
          <w:tcPr/>
          <w:p>
            <w:pPr>
              <w:pStyle w:val="Compact"/>
            </w:pPr>
            <w:r>
              <w:t xml:space="preserve">Management hypothesis, not verified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DERIVED</w:t>
            </w:r>
          </w:p>
        </w:tc>
        <w:tc>
          <w:tcPr/>
          <w:p>
            <w:pPr>
              <w:pStyle w:val="Compact"/>
            </w:pPr>
            <w:r>
              <w:t xml:space="preserve">Calculated from other inputs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Range within conservative/base/aggressive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UNKNOWN</w:t>
            </w:r>
          </w:p>
        </w:tc>
        <w:tc>
          <w:tcPr/>
          <w:p>
            <w:pPr>
              <w:pStyle w:val="Compact"/>
            </w:pPr>
            <w:r>
              <w:t xml:space="preserve">Not yet determined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Rule:</w:t>
      </w:r>
      <w:r>
        <w:t xml:space="preserve"> </w:t>
      </w:r>
      <w:r>
        <w:t xml:space="preserve">UNKNOWN ≠ 0.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776fd7a4bce44ed251cfe4d0f9cb89d54907e43"/>
      <w:r>
        <w:t xml:space="preserve">4. Voice by Role</w:t>
      </w:r>
    </w:p>
    <w:p>
      <w:pPr>
        <w:pStyle w:val="FirstParagraph"/>
      </w:pPr>
      <w:r>
        <w:t xml:space="preserve">Each document carries the voice of its owner: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 Type</w:t>
            </w:r>
          </w:p>
        </w:tc>
        <w:tc>
          <w:tcPr/>
          <w:p>
            <w:pPr>
              <w:pStyle w:val="Compact"/>
            </w:pPr>
            <w:r>
              <w:t xml:space="preserve">Voice</w:t>
            </w:r>
          </w:p>
        </w:tc>
        <w:tc>
          <w:tcPr/>
          <w:p>
            <w:pPr>
              <w:pStyle w:val="Compact"/>
            </w:pPr>
            <w:r>
              <w:t xml:space="preserve">Characteristics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CFO Financial Model</w:t>
            </w:r>
          </w:p>
        </w:tc>
        <w:tc>
          <w:tcPr/>
          <w:p>
            <w:pPr>
              <w:pStyle w:val="Compact"/>
            </w:pPr>
            <w:r>
              <w:t xml:space="preserve">Conservative, auditable</w:t>
            </w:r>
          </w:p>
        </w:tc>
        <w:tc>
          <w:tcPr/>
          <w:p>
            <w:pPr>
              <w:pStyle w:val="Compact"/>
            </w:pPr>
            <w:r>
              <w:t xml:space="preserve">Show formulas, mark every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CTO Architecture</w:t>
            </w:r>
          </w:p>
        </w:tc>
        <w:tc>
          <w:tcPr/>
          <w:p>
            <w:pPr>
              <w:pStyle w:val="Compact"/>
            </w:pPr>
            <w:r>
              <w:t xml:space="preserve">Precise, technical</w:t>
            </w:r>
          </w:p>
        </w:tc>
        <w:tc>
          <w:tcPr/>
          <w:p>
            <w:pPr>
              <w:pStyle w:val="Compact"/>
            </w:pPr>
            <w:r>
              <w:t xml:space="preserve">Reference ADRs, avoid commercial claims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CISO Security</w:t>
            </w:r>
          </w:p>
        </w:tc>
        <w:tc>
          <w:tcPr/>
          <w:p>
            <w:pPr>
              <w:pStyle w:val="Compact"/>
            </w:pPr>
            <w:r>
              <w:t xml:space="preserve">Risk-aware, control-focused</w:t>
            </w:r>
          </w:p>
        </w:tc>
        <w:tc>
          <w:tcPr/>
          <w:p>
            <w:pPr>
              <w:pStyle w:val="Compact"/>
            </w:pPr>
            <w:r>
              <w:t xml:space="preserve">Reference SAMA CSF, PDPL, NCA ECC</w:t>
            </w:r>
          </w:p>
        </w:tc>
      </w:tr>
      <w:tr>
        <w:tc>
          <w:tcPr/>
          <w:p>
            <w:pPr>
              <w:pStyle w:val="Compact"/>
            </w:pPr>
            <w:r>
              <w:t xml:space="preserve">MLRO Compliance</w:t>
            </w:r>
          </w:p>
        </w:tc>
        <w:tc>
          <w:tcPr/>
          <w:p>
            <w:pPr>
              <w:pStyle w:val="Compact"/>
            </w:pPr>
            <w:r>
              <w:t xml:space="preserve">Regulatory, evidence-first</w:t>
            </w:r>
          </w:p>
        </w:tc>
        <w:tc>
          <w:tcPr/>
          <w:p>
            <w:pPr>
              <w:pStyle w:val="Compact"/>
            </w:pPr>
            <w:r>
              <w:t xml:space="preserve">Reference SAMA AML, FATF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CEO Strategy</w:t>
            </w:r>
          </w:p>
        </w:tc>
        <w:tc>
          <w:tcPr/>
          <w:p>
            <w:pPr>
              <w:pStyle w:val="Compact"/>
            </w:pPr>
            <w:r>
              <w:t xml:space="preserve">Strategic, aligned</w:t>
            </w:r>
          </w:p>
        </w:tc>
        <w:tc>
          <w:tcPr/>
          <w:p>
            <w:pPr>
              <w:pStyle w:val="Compact"/>
            </w:pPr>
            <w:r>
              <w:t xml:space="preserve">Reference roadmap, milestones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Materials</w:t>
            </w:r>
          </w:p>
        </w:tc>
        <w:tc>
          <w:tcPr/>
          <w:p>
            <w:pPr>
              <w:pStyle w:val="Compact"/>
            </w:pPr>
            <w:r>
              <w:t xml:space="preserve">Evidence-based, no hype</w:t>
            </w:r>
          </w:p>
        </w:tc>
        <w:tc>
          <w:tcPr/>
          <w:p>
            <w:pPr>
              <w:pStyle w:val="Compact"/>
            </w:pPr>
            <w:r>
              <w:t xml:space="preserve">Mark all forecasts as SCENARIO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5c19b6ce8199f8ad9f4cf589dfdd8fc2f701022"/>
      <w:r>
        <w:t xml:space="preserve">5. Formatting Standards</w:t>
      </w:r>
    </w:p>
    <w:p>
      <w:pPr>
        <w:pStyle w:val="Heading3"/>
      </w:pPr>
      <w:bookmarkStart w:id="15" w:name="_headings"/>
      <w:r>
        <w:t xml:space="preserve">5.1 Headings</w:t>
      </w:r>
    </w:p>
    <w:p>
      <w:pPr>
        <w:pStyle w:val="Compact"/>
        <w:numPr>
          <w:ilvl w:val="0"/>
          <w:numId w:val="1002"/>
        </w:numPr>
      </w:pPr>
      <w:r>
        <w:t xml:space="preserve">H1: Document title (only once)</w:t>
      </w:r>
    </w:p>
    <w:p>
      <w:pPr>
        <w:pStyle w:val="Compact"/>
        <w:numPr>
          <w:ilvl w:val="0"/>
          <w:numId w:val="1002"/>
        </w:numPr>
      </w:pPr>
      <w:r>
        <w:t xml:space="preserve">H2: Major sections</w:t>
      </w:r>
    </w:p>
    <w:p>
      <w:pPr>
        <w:pStyle w:val="Compact"/>
        <w:numPr>
          <w:ilvl w:val="0"/>
          <w:numId w:val="1002"/>
        </w:numPr>
      </w:pPr>
      <w:r>
        <w:t xml:space="preserve">H3: Subsections</w:t>
      </w:r>
    </w:p>
    <w:p>
      <w:pPr>
        <w:pStyle w:val="Compact"/>
        <w:numPr>
          <w:ilvl w:val="0"/>
          <w:numId w:val="1002"/>
        </w:numPr>
      </w:pPr>
      <w:r>
        <w:t xml:space="preserve">Numbered sections (1, 1.1, 1.1.1)</w:t>
      </w:r>
    </w:p>
    <w:p>
      <w:pPr>
        <w:pStyle w:val="Heading3"/>
      </w:pPr>
      <w:bookmarkStart w:id="16" w:name="_tables"/>
      <w:r>
        <w:t xml:space="preserve">5.2 Tables</w:t>
      </w:r>
    </w:p>
    <w:p>
      <w:pPr>
        <w:pStyle w:val="Compact"/>
        <w:numPr>
          <w:ilvl w:val="0"/>
          <w:numId w:val="1003"/>
        </w:numPr>
      </w:pPr>
      <w:r>
        <w:t xml:space="preserve">Use markdown tables</w:t>
      </w:r>
    </w:p>
    <w:p>
      <w:pPr>
        <w:pStyle w:val="Compact"/>
        <w:numPr>
          <w:ilvl w:val="0"/>
          <w:numId w:val="1003"/>
        </w:numPr>
      </w:pPr>
      <w:r>
        <w:t xml:space="preserve">Header row bold</w:t>
      </w:r>
    </w:p>
    <w:p>
      <w:pPr>
        <w:pStyle w:val="Compact"/>
        <w:numPr>
          <w:ilvl w:val="0"/>
          <w:numId w:val="1003"/>
        </w:numPr>
      </w:pPr>
      <w:r>
        <w:t xml:space="preserve">Align numbers right</w:t>
      </w:r>
    </w:p>
    <w:p>
      <w:pPr>
        <w:pStyle w:val="Compact"/>
        <w:numPr>
          <w:ilvl w:val="0"/>
          <w:numId w:val="1003"/>
        </w:numPr>
      </w:pPr>
      <w:r>
        <w:t xml:space="preserve">Include a</w:t>
      </w:r>
      <w:r>
        <w:t xml:space="preserve"> </w:t>
      </w:r>
      <w:r>
        <w:t xml:space="preserve">“Classification”</w:t>
      </w:r>
      <w:r>
        <w:t xml:space="preserve"> </w:t>
      </w:r>
      <w:r>
        <w:t xml:space="preserve">column where applicable</w:t>
      </w:r>
    </w:p>
    <w:p>
      <w:pPr>
        <w:pStyle w:val="Heading3"/>
      </w:pPr>
      <w:bookmarkStart w:id="17" w:name="_lists"/>
      <w:r>
        <w:t xml:space="preserve">5.3 Lists</w:t>
      </w:r>
    </w:p>
    <w:p>
      <w:pPr>
        <w:pStyle w:val="Compact"/>
        <w:numPr>
          <w:ilvl w:val="0"/>
          <w:numId w:val="1004"/>
        </w:numPr>
      </w:pPr>
      <w:r>
        <w:t xml:space="preserve">Bullet: unordered items</w:t>
      </w:r>
    </w:p>
    <w:p>
      <w:pPr>
        <w:pStyle w:val="Compact"/>
        <w:numPr>
          <w:ilvl w:val="0"/>
          <w:numId w:val="1004"/>
        </w:numPr>
      </w:pPr>
      <w:r>
        <w:t xml:space="preserve">Numbered: sequential steps</w:t>
      </w:r>
    </w:p>
    <w:p>
      <w:pPr>
        <w:pStyle w:val="Compact"/>
        <w:numPr>
          <w:ilvl w:val="0"/>
          <w:numId w:val="1004"/>
        </w:numPr>
      </w:pPr>
      <w:r>
        <w:t xml:space="preserve">No nested lists beyond 2 levels</w:t>
      </w:r>
    </w:p>
    <w:p>
      <w:pPr>
        <w:pStyle w:val="Heading3"/>
      </w:pPr>
      <w:bookmarkStart w:id="18" w:name="_citations"/>
      <w:r>
        <w:t xml:space="preserve">5.4 Citations</w:t>
      </w:r>
    </w:p>
    <w:p>
      <w:pPr>
        <w:pStyle w:val="FirstParagraph"/>
      </w:pPr>
      <w:r>
        <w:t xml:space="preserve">Every external claim includes:</w:t>
      </w:r>
    </w:p>
    <w:p>
      <w:pPr>
        <w:pStyle w:val="BlockText"/>
      </w:pPr>
      <w:r>
        <w:t xml:space="preserve">Source: [Publisher], [Title], [Date], [URL], [Tier]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9" w:name="_9b402518d99e03fc523c54abfe995339351c74c"/>
      <w:r>
        <w:t xml:space="preserve">6. Prohibited Content</w:t>
      </w:r>
    </w:p>
    <w:p>
      <w:pPr>
        <w:pStyle w:val="Compact"/>
        <w:numPr>
          <w:ilvl w:val="0"/>
          <w:numId w:val="1005"/>
        </w:numPr>
      </w:pPr>
      <w:r>
        <w:t xml:space="preserve">No fabricated customers, interviews, or revenue</w:t>
      </w:r>
    </w:p>
    <w:p>
      <w:pPr>
        <w:pStyle w:val="Compact"/>
        <w:numPr>
          <w:ilvl w:val="0"/>
          <w:numId w:val="1005"/>
        </w:numPr>
      </w:pPr>
      <w:r>
        <w:t xml:space="preserve">No</w:t>
      </w:r>
      <w:r>
        <w:t xml:space="preserve"> </w:t>
      </w:r>
      <w:r>
        <w:t xml:space="preserve">“SAMA-certified”</w:t>
      </w:r>
      <w:r>
        <w:t xml:space="preserve"> </w:t>
      </w:r>
      <w:r>
        <w:t xml:space="preserve">or</w:t>
      </w:r>
      <w:r>
        <w:t xml:space="preserve"> </w:t>
      </w:r>
      <w:r>
        <w:t xml:space="preserve">“bank-grade certified”</w:t>
      </w:r>
      <w:r>
        <w:t xml:space="preserve"> </w:t>
      </w:r>
      <w:r>
        <w:t xml:space="preserve">without evidence</w:t>
      </w:r>
    </w:p>
    <w:p>
      <w:pPr>
        <w:pStyle w:val="Compact"/>
        <w:numPr>
          <w:ilvl w:val="0"/>
          <w:numId w:val="1005"/>
        </w:numPr>
      </w:pPr>
      <w:r>
        <w:t xml:space="preserve">No forecasts presented as facts</w:t>
      </w:r>
    </w:p>
    <w:p>
      <w:pPr>
        <w:pStyle w:val="Compact"/>
        <w:numPr>
          <w:ilvl w:val="0"/>
          <w:numId w:val="1005"/>
        </w:numPr>
      </w:pPr>
      <w:r>
        <w:t xml:space="preserve">No competitor revenue presented without source</w:t>
      </w:r>
    </w:p>
    <w:p>
      <w:pPr>
        <w:pStyle w:val="Compact"/>
        <w:numPr>
          <w:ilvl w:val="0"/>
          <w:numId w:val="1005"/>
        </w:numPr>
      </w:pPr>
      <w:r>
        <w:t xml:space="preserve">No arbitrary market percentages</w:t>
      </w:r>
    </w:p>
    <w:p>
      <w:pPr>
        <w:pStyle w:val="Compact"/>
        <w:numPr>
          <w:ilvl w:val="0"/>
          <w:numId w:val="1005"/>
        </w:numPr>
      </w:pPr>
      <w:r>
        <w:t xml:space="preserve">No</w:t>
      </w:r>
      <w:r>
        <w:t xml:space="preserve"> </w:t>
      </w:r>
      <w:r>
        <w:t xml:space="preserve">“guaranteed”</w:t>
      </w:r>
      <w:r>
        <w:t xml:space="preserve"> </w:t>
      </w:r>
      <w:r>
        <w:t xml:space="preserve">language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bececee213bea5c8ad4f32953dc69a1d38763e0"/>
      <w:r>
        <w:t xml:space="preserve">7. Approved Language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 Say</w:t>
            </w:r>
          </w:p>
        </w:tc>
        <w:tc>
          <w:tcPr/>
          <w:p>
            <w:pPr>
              <w:pStyle w:val="Compact"/>
            </w:pPr>
            <w:r>
              <w:t xml:space="preserve">Don’t Say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Designed for alignment</w:t>
            </w:r>
          </w:p>
        </w:tc>
        <w:tc>
          <w:tcPr/>
          <w:p>
            <w:pPr>
              <w:pStyle w:val="Compact"/>
            </w:pPr>
            <w:r>
              <w:t xml:space="preserve">Certified, compliant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Pre-revenue</w:t>
            </w:r>
          </w:p>
        </w:tc>
        <w:tc>
          <w:tcPr/>
          <w:p>
            <w:pPr>
              <w:pStyle w:val="Compact"/>
            </w:pPr>
            <w:r>
              <w:t xml:space="preserve">Revenue-generating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  <w:tc>
          <w:tcPr/>
          <w:p>
            <w:pPr>
              <w:pStyle w:val="Compact"/>
            </w:pPr>
            <w:r>
              <w:t xml:space="preserve">Proven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Forecast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raise</w:t>
            </w:r>
          </w:p>
        </w:tc>
        <w:tc>
          <w:tcPr/>
          <w:p>
            <w:pPr>
              <w:pStyle w:val="Compact"/>
            </w:pPr>
            <w:r>
              <w:t xml:space="preserve">Raised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Management position</w:t>
            </w:r>
          </w:p>
        </w:tc>
        <w:tc>
          <w:tcPr/>
          <w:p>
            <w:pPr>
              <w:pStyle w:val="Compact"/>
            </w:pPr>
            <w:r>
              <w:t xml:space="preserve">Verified valuation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footer"/>
      <w:r>
        <w:t xml:space="preserve">8. Footer</w:t>
      </w:r>
    </w:p>
    <w:p>
      <w:pPr>
        <w:pStyle w:val="FirstParagraph"/>
      </w:pPr>
      <w:r>
        <w:t xml:space="preserve">Every page footer contains:</w:t>
      </w:r>
      <w:r>
        <w:t xml:space="preserve"> </w:t>
      </w:r>
      <w:r>
        <w:t xml:space="preserve">HISN FCDOS — [Document Title] | Page X of Y</w:t>
      </w:r>
      <w:r>
        <w:t xml:space="preserve"> </w:t>
      </w:r>
      <w:r>
        <w:t xml:space="preserve">Confidential — Not for Distribution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Style Guide v2.0 — October 2026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Brand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STYLE GUIDE</dc:title>
  <dc:creator>HISN Platform</dc:creator>
  <cp:keywords>HISN, FCDOS, financial crime, decision operating system</cp:keywords>
  <dcterms:created xsi:type="dcterms:W3CDTF">2026-10-14T12:11:00Z</dcterms:created>
  <dcterms:modified xsi:type="dcterms:W3CDTF">2026-10-14T12:11:00Z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