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01_Data_Room_Index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684978b8d9d8e9355c4368d1cfa9287a56864df"/>
      <w:r>
        <w:t xml:space="preserve">MASTER DATA ROOM INDEX</w:t>
      </w:r>
    </w:p>
    <w:p>
      <w:pPr>
        <w:pStyle w:val="FirstParagraph"/>
      </w:pPr>
      <w:r>
        <w:rPr>
          <w:b/>
          <w:bCs/>
        </w:rPr>
        <w:t xml:space="preserve">HISN Platform | Investor Data Room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1.0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74fb3fe3e6dda5b039708b5542edc4bb826590b"/>
      <w:r>
        <w:t xml:space="preserve">1. Data Room Structure</w:t>
      </w:r>
    </w:p>
    <w:p>
      <w:pPr>
        <w:pStyle w:val="FirstParagraph"/>
      </w:pPr>
      <w:r>
        <w:t xml:space="preserve">The HISN Data Room contains</w:t>
      </w:r>
      <w:r>
        <w:t xml:space="preserve"> </w:t>
      </w:r>
      <w:r>
        <w:rPr>
          <w:b/>
          <w:bCs/>
        </w:rPr>
        <w:t xml:space="preserve">300+ documents</w:t>
      </w:r>
      <w:r>
        <w:t xml:space="preserve"> </w:t>
      </w:r>
      <w:r>
        <w:t xml:space="preserve">organized across 36 folders, covering technical, financial, legal, governance, market, and commercial dimensions.</w:t>
      </w:r>
    </w:p>
    <w:p>
      <w:pPr>
        <w:pStyle w:val="Heading2"/>
      </w:pPr>
      <w:bookmarkStart w:id="11" w:name="_3ee91c2d5ba2d884be2a62bebae9dc018fa350a"/>
      <w:r>
        <w:t xml:space="preserve">2. Folder Index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</w:t>
            </w:r>
          </w:p>
        </w:tc>
        <w:tc>
          <w:tcPr/>
          <w:p>
            <w:pPr>
              <w:pStyle w:val="Compact"/>
            </w:pPr>
            <w:r>
              <w:t xml:space="preserve">Index</w:t>
            </w:r>
          </w:p>
        </w:tc>
        <w:tc>
          <w:tcPr/>
          <w:p>
            <w:pPr>
              <w:pStyle w:val="Compact"/>
            </w:pPr>
            <w:r>
              <w:t xml:space="preserve">Master navigation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Technical due diligence</w:t>
            </w:r>
          </w:p>
        </w:tc>
        <w:tc>
          <w:tcPr/>
          <w:p>
            <w:pPr>
              <w:pStyle w:val="Compact"/>
            </w:pPr>
            <w:r>
              <w:t xml:space="preserve">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  <w:tc>
          <w:tcPr/>
          <w:p>
            <w:pPr>
              <w:pStyle w:val="Compact"/>
            </w:pPr>
            <w:r>
              <w:t xml:space="preserve">AML/CFT compliance</w:t>
            </w:r>
          </w:p>
        </w:tc>
        <w:tc>
          <w:tcPr/>
          <w:p>
            <w:pPr>
              <w:pStyle w:val="Compact"/>
            </w:pPr>
            <w: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</w:t>
            </w:r>
          </w:p>
        </w:tc>
        <w:tc>
          <w:tcPr/>
          <w:p>
            <w:pPr>
              <w:pStyle w:val="Compact"/>
            </w:pPr>
            <w:r>
              <w:t xml:space="preserve">Bank CEO</w:t>
            </w:r>
          </w:p>
        </w:tc>
        <w:tc>
          <w:tcPr/>
          <w:p>
            <w:pPr>
              <w:pStyle w:val="Compact"/>
            </w:pPr>
            <w:r>
              <w:t xml:space="preserve">Executive level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Corporate legal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</w:t>
            </w:r>
          </w:p>
        </w:tc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Financial summary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</w:t>
            </w:r>
          </w:p>
        </w:tc>
        <w:tc>
          <w:tcPr/>
          <w:p>
            <w:pPr>
              <w:pStyle w:val="Compact"/>
            </w:pPr>
            <w:r>
              <w:t xml:space="preserve">Pitch</w:t>
            </w:r>
          </w:p>
        </w:tc>
        <w:tc>
          <w:tcPr/>
          <w:p>
            <w:pPr>
              <w:pStyle w:val="Compact"/>
            </w:pPr>
            <w:r>
              <w:t xml:space="preserve">Investor presentation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</w:t>
            </w:r>
          </w:p>
        </w:tc>
        <w:tc>
          <w:tcPr/>
          <w:p>
            <w:pPr>
              <w:pStyle w:val="Compact"/>
            </w:pPr>
            <w:r>
              <w:t xml:space="preserve">Due Diligence</w:t>
            </w:r>
          </w:p>
        </w:tc>
        <w:tc>
          <w:tcPr/>
          <w:p>
            <w:pPr>
              <w:pStyle w:val="Compact"/>
            </w:pPr>
            <w:r>
              <w:t xml:space="preserve">DD checklists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</w:t>
            </w:r>
          </w:p>
        </w:tc>
        <w:tc>
          <w:tcPr/>
          <w:p>
            <w:pPr>
              <w:pStyle w:val="Compact"/>
            </w:pPr>
            <w:r>
              <w:t xml:space="preserve">KSA Regulatory</w:t>
            </w:r>
          </w:p>
        </w:tc>
        <w:tc>
          <w:tcPr/>
          <w:p>
            <w:pPr>
              <w:pStyle w:val="Compact"/>
            </w:pPr>
            <w:r>
              <w:t xml:space="preserve">Local regulatory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Operations</w:t>
            </w:r>
          </w:p>
        </w:tc>
        <w:tc>
          <w:tcPr/>
          <w:p>
            <w:pPr>
              <w:pStyle w:val="Compact"/>
            </w:pPr>
            <w:r>
              <w:t xml:space="preserve">Operations overview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Governance</w:t>
            </w:r>
          </w:p>
        </w:tc>
        <w:tc>
          <w:tcPr/>
          <w:p>
            <w:pPr>
              <w:pStyle w:val="Compact"/>
            </w:pPr>
            <w:r>
              <w:t xml:space="preserve">Board &amp; policy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Financial Detailed</w:t>
            </w:r>
          </w:p>
        </w:tc>
        <w:tc>
          <w:tcPr/>
          <w:p>
            <w:pPr>
              <w:pStyle w:val="Compact"/>
            </w:pPr>
            <w:r>
              <w:t xml:space="preserve">Deep financials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HR &amp; Team</w:t>
            </w:r>
          </w:p>
        </w:tc>
        <w:tc>
          <w:tcPr/>
          <w:p>
            <w:pPr>
              <w:pStyle w:val="Compact"/>
            </w:pPr>
            <w:r>
              <w:t xml:space="preserve">People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Product &amp; Tech</w:t>
            </w:r>
          </w:p>
        </w:tc>
        <w:tc>
          <w:tcPr/>
          <w:p>
            <w:pPr>
              <w:pStyle w:val="Compact"/>
            </w:pPr>
            <w:r>
              <w:t xml:space="preserve">Technical docs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Sales &amp; Marketing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Legal Advanced</w:t>
            </w:r>
          </w:p>
        </w:tc>
        <w:tc>
          <w:tcPr/>
          <w:p>
            <w:pPr>
              <w:pStyle w:val="Compact"/>
            </w:pPr>
            <w:r>
              <w:t xml:space="preserve">Contracts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Compliance Advanced</w:t>
            </w:r>
          </w:p>
        </w:tc>
        <w:tc>
          <w:tcPr/>
          <w:p>
            <w:pPr>
              <w:pStyle w:val="Compact"/>
            </w:pPr>
            <w:r>
              <w:t xml:space="preserve">Policies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Investor Relations</w:t>
            </w:r>
          </w:p>
        </w:tc>
        <w:tc>
          <w:tcPr/>
          <w:p>
            <w:pPr>
              <w:pStyle w:val="Compact"/>
            </w:pPr>
            <w:r>
              <w:t xml:space="preserve">Investor management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BCP &amp; DR</w:t>
            </w:r>
          </w:p>
        </w:tc>
        <w:tc>
          <w:tcPr/>
          <w:p>
            <w:pPr>
              <w:pStyle w:val="Compact"/>
            </w:pPr>
            <w:r>
              <w:t xml:space="preserve">Continuity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Market Study</w:t>
            </w:r>
          </w:p>
        </w:tc>
        <w:tc>
          <w:tcPr/>
          <w:p>
            <w:pPr>
              <w:pStyle w:val="Compact"/>
            </w:pPr>
            <w:r>
              <w:t xml:space="preserve">Market analysis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Competitor Analysis</w:t>
            </w:r>
          </w:p>
        </w:tc>
        <w:tc>
          <w:tcPr/>
          <w:p>
            <w:pPr>
              <w:pStyle w:val="Compact"/>
            </w:pPr>
            <w:r>
              <w:t xml:space="preserve">Competitive landscape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Pricing Strategy</w:t>
            </w:r>
          </w:p>
        </w:tc>
        <w:tc>
          <w:tcPr/>
          <w:p>
            <w:pPr>
              <w:pStyle w:val="Compact"/>
            </w:pPr>
            <w:r>
              <w:t xml:space="preserve">Commercial pricing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Operations Deep</w:t>
            </w:r>
          </w:p>
        </w:tc>
        <w:tc>
          <w:tcPr/>
          <w:p>
            <w:pPr>
              <w:pStyle w:val="Compact"/>
            </w:pPr>
            <w:r>
              <w:t xml:space="preserve">Operational detail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Financial Model</w:t>
            </w:r>
          </w:p>
        </w:tc>
        <w:tc>
          <w:tcPr/>
          <w:p>
            <w:pPr>
              <w:pStyle w:val="Compact"/>
            </w:pPr>
            <w:r>
              <w:t xml:space="preserve">Big Four model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Term Sheet</w:t>
            </w:r>
          </w:p>
        </w:tc>
        <w:tc>
          <w:tcPr/>
          <w:p>
            <w:pPr>
              <w:pStyle w:val="Compact"/>
            </w:pPr>
            <w:r>
              <w:t xml:space="preserve">Investment terms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Exit Strategy</w:t>
            </w:r>
          </w:p>
        </w:tc>
        <w:tc>
          <w:tcPr/>
          <w:p>
            <w:pPr>
              <w:pStyle w:val="Compact"/>
            </w:pPr>
            <w:r>
              <w:t xml:space="preserve">Exit analysis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Investment Memo v3</w:t>
            </w:r>
          </w:p>
        </w:tc>
        <w:tc>
          <w:tcPr/>
          <w:p>
            <w:pPr>
              <w:pStyle w:val="Compact"/>
            </w:pPr>
            <w:r>
              <w:t xml:space="preserve">Full memo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Risk Management</w:t>
            </w:r>
          </w:p>
        </w:tc>
        <w:tc>
          <w:tcPr/>
          <w:p>
            <w:pPr>
              <w:pStyle w:val="Compact"/>
            </w:pPr>
            <w:r>
              <w:t xml:space="preserve">Enterprise risk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Valuation Defense</w:t>
            </w:r>
          </w:p>
        </w:tc>
        <w:tc>
          <w:tcPr/>
          <w:p>
            <w:pPr>
              <w:pStyle w:val="Compact"/>
            </w:pPr>
            <w:r>
              <w:t xml:space="preserve">Valuation rationale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Board Reporting</w:t>
            </w:r>
          </w:p>
        </w:tc>
        <w:tc>
          <w:tcPr/>
          <w:p>
            <w:pPr>
              <w:pStyle w:val="Compact"/>
            </w:pPr>
            <w:r>
              <w:t xml:space="preserve">Governance reports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Audit Readiness</w:t>
            </w:r>
          </w:p>
        </w:tc>
        <w:tc>
          <w:tcPr/>
          <w:p>
            <w:pPr>
              <w:pStyle w:val="Compact"/>
            </w:pPr>
            <w:r>
              <w:t xml:space="preserve">Audit prep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Brand Identity</w:t>
            </w:r>
          </w:p>
        </w:tc>
        <w:tc>
          <w:tcPr/>
          <w:p>
            <w:pPr>
              <w:pStyle w:val="Compact"/>
            </w:pPr>
            <w:r>
              <w:t xml:space="preserve">Brand &amp; profile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Founder Profile</w:t>
            </w:r>
          </w:p>
        </w:tc>
        <w:tc>
          <w:tcPr/>
          <w:p>
            <w:pPr>
              <w:pStyle w:val="Compact"/>
            </w:pPr>
            <w:r>
              <w:t xml:space="preserve">Founder dossier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Accelerator Pack</w:t>
            </w:r>
          </w:p>
        </w:tc>
        <w:tc>
          <w:tcPr/>
          <w:p>
            <w:pPr>
              <w:pStyle w:val="Compact"/>
            </w:pPr>
            <w:r>
              <w:t xml:space="preserve">Accelerator apps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Data Room Master</w:t>
            </w:r>
          </w:p>
        </w:tc>
        <w:tc>
          <w:tcPr/>
          <w:p>
            <w:pPr>
              <w:pStyle w:val="Compact"/>
            </w:pPr>
            <w:r>
              <w:t xml:space="preserve">This index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Policies Master</w:t>
            </w:r>
          </w:p>
        </w:tc>
        <w:tc>
          <w:tcPr/>
          <w:p>
            <w:pPr>
              <w:pStyle w:val="Compact"/>
            </w:pPr>
            <w:r>
              <w:t xml:space="preserve">Consolidated policies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Total: 300+ documents</w:t>
      </w:r>
    </w:p>
    <w:p>
      <w:pPr>
        <w:pStyle w:val="Heading2"/>
      </w:pPr>
      <w:bookmarkStart w:id="12" w:name="_a89e466706449b373a36f7ad8c33bd642846363"/>
      <w:r>
        <w:t xml:space="preserve">3. Quick Access by Audience</w:t>
      </w:r>
    </w:p>
    <w:p>
      <w:pPr>
        <w:pStyle w:val="Heading3"/>
      </w:pPr>
      <w:bookmarkStart w:id="13" w:name="_b05ca7156b6c183b28a60a46edf6387c46315f0"/>
      <w:r>
        <w:t xml:space="preserve">For Investors</w:t>
      </w:r>
    </w:p>
    <w:p>
      <w:pPr>
        <w:pStyle w:val="Compact"/>
        <w:numPr>
          <w:ilvl w:val="0"/>
          <w:numId w:val="1001"/>
        </w:numPr>
      </w:pPr>
      <w:r>
        <w:t xml:space="preserve">07_PITCH</w:t>
      </w:r>
    </w:p>
    <w:p>
      <w:pPr>
        <w:pStyle w:val="Compact"/>
        <w:numPr>
          <w:ilvl w:val="0"/>
          <w:numId w:val="1001"/>
        </w:numPr>
      </w:pPr>
      <w:r>
        <w:t xml:space="preserve">24_FINANCIAL_MODEL</w:t>
      </w:r>
    </w:p>
    <w:p>
      <w:pPr>
        <w:pStyle w:val="Compact"/>
        <w:numPr>
          <w:ilvl w:val="0"/>
          <w:numId w:val="1001"/>
        </w:numPr>
      </w:pPr>
      <w:r>
        <w:t xml:space="preserve">25_TERM_SHEET</w:t>
      </w:r>
    </w:p>
    <w:p>
      <w:pPr>
        <w:pStyle w:val="Compact"/>
        <w:numPr>
          <w:ilvl w:val="0"/>
          <w:numId w:val="1001"/>
        </w:numPr>
      </w:pPr>
      <w:r>
        <w:t xml:space="preserve">26_EXIT_STRATEGY</w:t>
      </w:r>
    </w:p>
    <w:p>
      <w:pPr>
        <w:pStyle w:val="Compact"/>
        <w:numPr>
          <w:ilvl w:val="0"/>
          <w:numId w:val="1001"/>
        </w:numPr>
      </w:pPr>
      <w:r>
        <w:t xml:space="preserve">27_INVESTMENT_MEMO_v3</w:t>
      </w:r>
    </w:p>
    <w:p>
      <w:pPr>
        <w:pStyle w:val="Compact"/>
        <w:numPr>
          <w:ilvl w:val="0"/>
          <w:numId w:val="1001"/>
        </w:numPr>
      </w:pPr>
      <w:r>
        <w:t xml:space="preserve">29_VALUATION_DEFENSE</w:t>
      </w:r>
    </w:p>
    <w:p>
      <w:pPr>
        <w:pStyle w:val="Heading3"/>
      </w:pPr>
      <w:bookmarkStart w:id="14" w:name="_a6efbf1f1e6ebf4f9771622af4653073da910be"/>
      <w:r>
        <w:t xml:space="preserve">For Banks (CTO)</w:t>
      </w:r>
    </w:p>
    <w:p>
      <w:pPr>
        <w:pStyle w:val="Compact"/>
        <w:numPr>
          <w:ilvl w:val="0"/>
          <w:numId w:val="1002"/>
        </w:numPr>
      </w:pPr>
      <w:r>
        <w:t xml:space="preserve">01_CTO</w:t>
      </w:r>
    </w:p>
    <w:p>
      <w:pPr>
        <w:pStyle w:val="Compact"/>
        <w:numPr>
          <w:ilvl w:val="0"/>
          <w:numId w:val="1002"/>
        </w:numPr>
      </w:pPr>
      <w:r>
        <w:t xml:space="preserve">02_CISO</w:t>
      </w:r>
    </w:p>
    <w:p>
      <w:pPr>
        <w:pStyle w:val="Compact"/>
        <w:numPr>
          <w:ilvl w:val="0"/>
          <w:numId w:val="1002"/>
        </w:numPr>
      </w:pPr>
      <w:r>
        <w:t xml:space="preserve">14_PRODUCT_TECH</w:t>
      </w:r>
    </w:p>
    <w:p>
      <w:pPr>
        <w:pStyle w:val="Compact"/>
        <w:numPr>
          <w:ilvl w:val="0"/>
          <w:numId w:val="1002"/>
        </w:numPr>
      </w:pPr>
      <w:r>
        <w:t xml:space="preserve">20_MARKET_STUDY</w:t>
      </w:r>
    </w:p>
    <w:p>
      <w:pPr>
        <w:pStyle w:val="Compact"/>
        <w:numPr>
          <w:ilvl w:val="0"/>
          <w:numId w:val="1002"/>
        </w:numPr>
      </w:pPr>
      <w:r>
        <w:t xml:space="preserve">28_RISK_MANAGEMENT</w:t>
      </w:r>
    </w:p>
    <w:p>
      <w:pPr>
        <w:pStyle w:val="Heading3"/>
      </w:pPr>
      <w:bookmarkStart w:id="15" w:name="_9afc71110f1a9443cacdf6f038d92eb4cc30cb0"/>
      <w:r>
        <w:t xml:space="preserve">For Banks (CISO)</w:t>
      </w:r>
    </w:p>
    <w:p>
      <w:pPr>
        <w:pStyle w:val="Compact"/>
        <w:numPr>
          <w:ilvl w:val="0"/>
          <w:numId w:val="1003"/>
        </w:numPr>
      </w:pPr>
      <w:r>
        <w:t xml:space="preserve">02_CISO</w:t>
      </w:r>
    </w:p>
    <w:p>
      <w:pPr>
        <w:pStyle w:val="Compact"/>
        <w:numPr>
          <w:ilvl w:val="0"/>
          <w:numId w:val="1003"/>
        </w:numPr>
      </w:pPr>
      <w:r>
        <w:t xml:space="preserve">16_LEGAL_ADVANCED</w:t>
      </w:r>
    </w:p>
    <w:p>
      <w:pPr>
        <w:pStyle w:val="Compact"/>
        <w:numPr>
          <w:ilvl w:val="0"/>
          <w:numId w:val="1003"/>
        </w:numPr>
      </w:pPr>
      <w:r>
        <w:t xml:space="preserve">17_COMPLIANCE_ADVANCED</w:t>
      </w:r>
    </w:p>
    <w:p>
      <w:pPr>
        <w:pStyle w:val="Compact"/>
        <w:numPr>
          <w:ilvl w:val="0"/>
          <w:numId w:val="1003"/>
        </w:numPr>
      </w:pPr>
      <w:r>
        <w:t xml:space="preserve">19_BCP_DR</w:t>
      </w:r>
    </w:p>
    <w:p>
      <w:pPr>
        <w:pStyle w:val="Heading3"/>
      </w:pPr>
      <w:bookmarkStart w:id="16" w:name="_29971a59620e7504552f62f29201813d0480177"/>
      <w:r>
        <w:t xml:space="preserve">For Banks (MLRO)</w:t>
      </w:r>
    </w:p>
    <w:p>
      <w:pPr>
        <w:pStyle w:val="Compact"/>
        <w:numPr>
          <w:ilvl w:val="0"/>
          <w:numId w:val="1004"/>
        </w:numPr>
      </w:pPr>
      <w:r>
        <w:t xml:space="preserve">03_MLRO</w:t>
      </w:r>
    </w:p>
    <w:p>
      <w:pPr>
        <w:pStyle w:val="Compact"/>
        <w:numPr>
          <w:ilvl w:val="0"/>
          <w:numId w:val="1004"/>
        </w:numPr>
      </w:pPr>
      <w:r>
        <w:t xml:space="preserve">09_KSA_REGULATORY</w:t>
      </w:r>
    </w:p>
    <w:p>
      <w:pPr>
        <w:pStyle w:val="Compact"/>
        <w:numPr>
          <w:ilvl w:val="0"/>
          <w:numId w:val="1004"/>
        </w:numPr>
      </w:pPr>
      <w:r>
        <w:t xml:space="preserve">17_COMPLIANCE_ADVANCED</w:t>
      </w:r>
    </w:p>
    <w:p>
      <w:pPr>
        <w:pStyle w:val="Heading3"/>
      </w:pPr>
      <w:bookmarkStart w:id="17" w:name="_fc8673bc4c34e6b32a0f86d90095bd3a75a8716"/>
      <w:r>
        <w:t xml:space="preserve">For Banks (CEO)</w:t>
      </w:r>
    </w:p>
    <w:p>
      <w:pPr>
        <w:pStyle w:val="Compact"/>
        <w:numPr>
          <w:ilvl w:val="0"/>
          <w:numId w:val="1005"/>
        </w:numPr>
      </w:pPr>
      <w:r>
        <w:t xml:space="preserve">04_BANK_CEO</w:t>
      </w:r>
    </w:p>
    <w:p>
      <w:pPr>
        <w:pStyle w:val="Compact"/>
        <w:numPr>
          <w:ilvl w:val="0"/>
          <w:numId w:val="1005"/>
        </w:numPr>
      </w:pPr>
      <w:r>
        <w:t xml:space="preserve">06_FINANCIAL</w:t>
      </w:r>
    </w:p>
    <w:p>
      <w:pPr>
        <w:pStyle w:val="Compact"/>
        <w:numPr>
          <w:ilvl w:val="0"/>
          <w:numId w:val="1005"/>
        </w:numPr>
      </w:pPr>
      <w:r>
        <w:t xml:space="preserve">11_GOVERNANCE</w:t>
      </w:r>
    </w:p>
    <w:p>
      <w:pPr>
        <w:pStyle w:val="Heading3"/>
      </w:pPr>
      <w:bookmarkStart w:id="18" w:name="_22a73bc734b9a17c15abc007778ef4de8effce2"/>
      <w:r>
        <w:t xml:space="preserve">For Accelerators</w:t>
      </w:r>
    </w:p>
    <w:p>
      <w:pPr>
        <w:pStyle w:val="Compact"/>
        <w:numPr>
          <w:ilvl w:val="0"/>
          <w:numId w:val="1006"/>
        </w:numPr>
      </w:pPr>
      <w:r>
        <w:t xml:space="preserve">34_ACCELERATOR_PACK</w:t>
      </w:r>
    </w:p>
    <w:p>
      <w:pPr>
        <w:pStyle w:val="Compact"/>
        <w:numPr>
          <w:ilvl w:val="0"/>
          <w:numId w:val="1006"/>
        </w:numPr>
      </w:pPr>
      <w:r>
        <w:t xml:space="preserve">33_FOUNDER_PROFILE</w:t>
      </w:r>
    </w:p>
    <w:p>
      <w:pPr>
        <w:pStyle w:val="Compact"/>
        <w:numPr>
          <w:ilvl w:val="0"/>
          <w:numId w:val="1006"/>
        </w:numPr>
      </w:pPr>
      <w:r>
        <w:t xml:space="preserve">07_PITCH</w:t>
      </w:r>
    </w:p>
    <w:p>
      <w:pPr>
        <w:pStyle w:val="Heading2"/>
      </w:pPr>
      <w:bookmarkStart w:id="19" w:name="_2fe3511f6c0eba9cd6ca0e718faa07d70e01ddc"/>
      <w:r>
        <w:t xml:space="preserve">4. Access Tiers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Audience</w:t>
            </w:r>
          </w:p>
        </w:tc>
        <w:tc>
          <w:tcPr/>
          <w:p>
            <w:pPr>
              <w:pStyle w:val="Compact"/>
            </w:pPr>
            <w:r>
              <w:t xml:space="preserve">Documents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</w:t>
            </w:r>
          </w:p>
        </w:tc>
        <w:tc>
          <w:tcPr/>
          <w:p>
            <w:pPr>
              <w:pStyle w:val="Compact"/>
            </w:pPr>
            <w:r>
              <w:t xml:space="preserve">Website, PR</w:t>
            </w:r>
          </w:p>
        </w:tc>
        <w:tc>
          <w:tcPr/>
          <w:p>
            <w:pPr>
              <w:pStyle w:val="Compact"/>
            </w:pPr>
            <w:r>
              <w:t xml:space="preserve">32 (brand only)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Teaser</w:t>
            </w:r>
          </w:p>
        </w:tc>
        <w:tc>
          <w:tcPr/>
          <w:p>
            <w:pPr>
              <w:pStyle w:val="Compact"/>
            </w:pPr>
            <w:r>
              <w:t xml:space="preserve">Initial contact</w:t>
            </w:r>
          </w:p>
        </w:tc>
        <w:tc>
          <w:tcPr/>
          <w:p>
            <w:pPr>
              <w:pStyle w:val="Compact"/>
            </w:pPr>
            <w:r>
              <w:t xml:space="preserve">07 + 27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NDA</w:t>
            </w:r>
          </w:p>
        </w:tc>
        <w:tc>
          <w:tcPr/>
          <w:p>
            <w:pPr>
              <w:pStyle w:val="Compact"/>
            </w:pPr>
            <w:r>
              <w:t xml:space="preserve">Full investor review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Deep DD</w:t>
            </w:r>
          </w:p>
        </w:tc>
        <w:tc>
          <w:tcPr/>
          <w:p>
            <w:pPr>
              <w:pStyle w:val="Compact"/>
            </w:pPr>
            <w:r>
              <w:t xml:space="preserve">Committed investor</w:t>
            </w:r>
          </w:p>
        </w:tc>
        <w:tc>
          <w:tcPr/>
          <w:p>
            <w:pPr>
              <w:pStyle w:val="Compact"/>
            </w:pPr>
            <w:r>
              <w:t xml:space="preserve">All + raw data</w:t>
            </w:r>
          </w:p>
        </w:tc>
      </w:tr>
    </w:tbl>
    <w:p>
      <w:pPr>
        <w:pStyle w:val="Heading2"/>
      </w:pPr>
      <w:bookmarkStart w:id="20" w:name="_0614240d7a656af6d5d78d8e2c066be5e3d208b"/>
      <w:r>
        <w:t xml:space="preserve">5. Document Standards</w:t>
      </w:r>
    </w:p>
    <w:p>
      <w:pPr>
        <w:pStyle w:val="FirstParagraph"/>
      </w:pPr>
      <w:r>
        <w:t xml:space="preserve">All documents in the Data Room:</w:t>
      </w:r>
      <w:r>
        <w:t xml:space="preserve"> </w:t>
      </w:r>
      <w:r>
        <w:t xml:space="preserve">- Prepared to Big Four institutional standards</w:t>
      </w:r>
      <w:r>
        <w:t xml:space="preserve"> </w:t>
      </w:r>
      <w:r>
        <w:t xml:space="preserve">- Dated and versioned</w:t>
      </w:r>
      <w:r>
        <w:t xml:space="preserve"> </w:t>
      </w:r>
      <w:r>
        <w:t xml:space="preserve">- Categorized by audience</w:t>
      </w:r>
      <w:r>
        <w:t xml:space="preserve"> </w:t>
      </w:r>
      <w:r>
        <w:t xml:space="preserve">- Confidentiality marked</w:t>
      </w:r>
      <w:r>
        <w:t xml:space="preserve"> </w:t>
      </w:r>
      <w:r>
        <w:t xml:space="preserve">- Cross-referenced</w:t>
      </w:r>
    </w:p>
    <w:p>
      <w:pPr>
        <w:pStyle w:val="Heading2"/>
      </w:pPr>
      <w:bookmarkStart w:id="21" w:name="_1b97e466cf3faf97236fd44f0508288d638624b"/>
      <w:r>
        <w:t xml:space="preserve">6. Update Cadence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 Type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model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reports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study</w:t>
            </w:r>
          </w:p>
        </w:tc>
        <w:tc>
          <w:tcPr/>
          <w:p>
            <w:pPr>
              <w:pStyle w:val="Compact"/>
            </w:pPr>
            <w:r>
              <w:t xml:space="preserve">Annually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register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profile</w:t>
            </w:r>
          </w:p>
        </w:tc>
        <w:tc>
          <w:tcPr/>
          <w:p>
            <w:pPr>
              <w:pStyle w:val="Compact"/>
            </w:pPr>
            <w:r>
              <w:t xml:space="preserve">Annually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Pitch deck</w:t>
            </w:r>
          </w:p>
        </w:tc>
        <w:tc>
          <w:tcPr/>
          <w:p>
            <w:pPr>
              <w:pStyle w:val="Compact"/>
            </w:pPr>
            <w:r>
              <w:t xml:space="preserve">Per round</w:t>
            </w:r>
          </w:p>
        </w:tc>
      </w:tr>
    </w:tbl>
    <w:p>
      <w:pPr>
        <w:pStyle w:val="Heading2"/>
      </w:pPr>
      <w:bookmarkStart w:id="22" w:name="_confidentiality"/>
      <w:r>
        <w:t xml:space="preserve">7. Confidentiality</w:t>
      </w:r>
    </w:p>
    <w:p>
      <w:pPr>
        <w:pStyle w:val="FirstParagraph"/>
      </w:pPr>
      <w:r>
        <w:t xml:space="preserve">All Data Room content is:</w:t>
      </w:r>
      <w:r>
        <w:t xml:space="preserve"> </w:t>
      </w:r>
      <w:r>
        <w:t xml:space="preserve">- Strictly confidential</w:t>
      </w:r>
      <w:r>
        <w:t xml:space="preserve"> </w:t>
      </w:r>
      <w:r>
        <w:t xml:space="preserve">- For qualified investor review only</w:t>
      </w:r>
      <w:r>
        <w:t xml:space="preserve"> </w:t>
      </w:r>
      <w:r>
        <w:t xml:space="preserve">- Subject to NDA</w:t>
      </w:r>
      <w:r>
        <w:t xml:space="preserve"> </w:t>
      </w:r>
      <w:r>
        <w:t xml:space="preserve">- Not for redistribution</w:t>
      </w:r>
      <w:r>
        <w:t xml:space="preserve"> </w:t>
      </w:r>
      <w:r>
        <w:t xml:space="preserve">- Tracked by access log</w:t>
      </w:r>
    </w:p>
    <w:p>
      <w:pPr>
        <w:pStyle w:val="Heading2"/>
      </w:pPr>
      <w:bookmarkStart w:id="23" w:name="_contact"/>
      <w:r>
        <w:t xml:space="preserve">8. Contact</w:t>
      </w:r>
    </w:p>
    <w:p>
      <w:pPr>
        <w:pStyle w:val="FirstParagraph"/>
      </w:pPr>
      <w:r>
        <w:t xml:space="preserve">For Data Room access or clarifications:</w:t>
      </w:r>
      <w:r>
        <w:t xml:space="preserve"> </w:t>
      </w:r>
      <w:r>
        <w:rPr>
          <w:b/>
          <w:bCs/>
        </w:rPr>
        <w:t xml:space="preserve">Mohamed Abdo</w:t>
      </w:r>
      <w:r>
        <w:t xml:space="preserve"> </w:t>
      </w:r>
      <w:r>
        <w:t xml:space="preserve">Founder &amp; CEO, HISN Platform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Data Room is maintained continuously and updated monthly.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Data Room Index</dc:title>
  <dc:creator>HISN Platform</dc:creator>
  <cp:keywords>HISN, FCDOS, financial crime, decision operating system</cp:keywords>
  <dcterms:created xsi:type="dcterms:W3CDTF">2026-10-14T09:44:21Z</dcterms:created>
  <dcterms:modified xsi:type="dcterms:W3CDTF">2026-10-14T09:44:21Z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