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03_Reconciliation_Note</w:t>
      </w:r>
    </w:p>
    <w:p>
      <w:pPr>
        <w:pStyle w:val="Heading1"/>
      </w:pPr>
      <w:bookmarkStart w:id="19" w:name="_9b5f279f3801437dce3b69641f0ac812d2799c4"/>
      <w:r>
        <w:t xml:space="preserve">Reconciliation Note</w:t>
      </w:r>
    </w:p>
    <w:p>
      <w:pPr>
        <w:pStyle w:val="FirstParagraph"/>
      </w:pPr>
      <w:r>
        <w:rPr>
          <w:b/>
          <w:bCs/>
        </w:rPr>
        <w:t xml:space="preserve">HISN — Financial Crime Decision Operating System</w:t>
      </w:r>
      <w:r>
        <w:t xml:space="preserve"> </w:t>
      </w:r>
      <w:r>
        <w:rPr>
          <w:b/>
          <w:bCs/>
        </w:rPr>
        <w:t xml:space="preserve">Version:</w:t>
      </w:r>
      <w:r>
        <w:t xml:space="preserve"> </w:t>
      </w:r>
      <w:r>
        <w:t xml:space="preserve">3.0 |</w:t>
      </w:r>
      <w:r>
        <w:t xml:space="preserve"> </w:t>
      </w:r>
      <w:r>
        <w:rPr>
          <w:b/>
          <w:bCs/>
        </w:rPr>
        <w:t xml:space="preserve">Date:</w:t>
      </w:r>
      <w:r>
        <w:t xml:space="preserve"> </w:t>
      </w:r>
      <w:r>
        <w:t xml:space="preserve">October 2026</w:t>
      </w:r>
      <w:r>
        <w:t xml:space="preserve"> </w:t>
      </w:r>
      <w:r>
        <w:rPr>
          <w:b/>
          <w:bCs/>
        </w:rPr>
        <w:t xml:space="preserve">Owner:</w:t>
      </w:r>
      <w:r>
        <w:t xml:space="preserve"> </w:t>
      </w:r>
      <w:r>
        <w:t xml:space="preserve">Chief Financial Officer</w:t>
      </w:r>
      <w:r>
        <w:t xml:space="preserve"> </w:t>
      </w:r>
      <w:r>
        <w:rPr>
          <w:b/>
          <w:bCs/>
        </w:rPr>
        <w:t xml:space="preserve">Classification:</w:t>
      </w:r>
      <w:r>
        <w:t xml:space="preserve"> </w:t>
      </w:r>
      <w:r>
        <w:t xml:space="preserve">Confidential |</w:t>
      </w:r>
      <w:r>
        <w:t xml:space="preserve"> </w:t>
      </w:r>
      <w:r>
        <w:rPr>
          <w:b/>
          <w:bCs/>
        </w:rPr>
        <w:t xml:space="preserve">Status:</w:t>
      </w:r>
      <w:r>
        <w:t xml:space="preserve"> </w:t>
      </w:r>
      <w:r>
        <w:t xml:space="preserve">Framework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0" w:name="_df3d0f1cc916325ee18f97ce3e72745a510564f"/>
      <w:r>
        <w:t xml:space="preserve">Document Control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Document Title</w:t>
            </w:r>
          </w:p>
        </w:tc>
        <w:tc>
          <w:tcPr/>
          <w:p>
            <w:pPr>
              <w:pStyle w:val="Compact"/>
            </w:pPr>
            <w:r>
              <w:t xml:space="preserve">Reconciliation Note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3.0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Date</w:t>
            </w:r>
          </w:p>
        </w:tc>
        <w:tc>
          <w:tcPr/>
          <w:p>
            <w:pPr>
              <w:pStyle w:val="Compact"/>
            </w:pPr>
            <w:r>
              <w:t xml:space="preserve">October 2026</w:t>
            </w:r>
          </w:p>
        </w:tc>
      </w:tr>
      <w:tr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CFO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Classification</w:t>
            </w:r>
          </w:p>
        </w:tc>
        <w:tc>
          <w:tcPr/>
          <w:p>
            <w:pPr>
              <w:pStyle w:val="Compact"/>
            </w:pPr>
            <w:r>
              <w:t xml:space="preserve">Confidential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Framework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Basis of Preparation</w:t>
            </w:r>
          </w:p>
        </w:tc>
        <w:tc>
          <w:tcPr/>
          <w:p>
            <w:pPr>
              <w:pStyle w:val="Compact"/>
            </w:pPr>
            <w:r>
              <w:t xml:space="preserve">Commercial Intelligence SSOT, Layer A vs Layer B</w:t>
            </w:r>
          </w:p>
        </w:tc>
      </w:tr>
      <w:tr>
        <w:tc>
          <w:tcPr/>
          <w:p>
            <w:pPr>
              <w:pStyle w:val="Compact"/>
            </w:pPr>
            <w:r>
              <w:t xml:space="preserve">Limitations</w:t>
            </w:r>
          </w:p>
        </w:tc>
        <w:tc>
          <w:tcPr/>
          <w:p>
            <w:pPr>
              <w:pStyle w:val="Compact"/>
            </w:pPr>
            <w:r>
              <w:t xml:space="preserve">Reconciliation is a working document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_purpose"/>
      <w:r>
        <w:t xml:space="preserve">1. Purpose</w:t>
      </w:r>
    </w:p>
    <w:p>
      <w:pPr>
        <w:pStyle w:val="FirstParagraph"/>
      </w:pPr>
      <w:r>
        <w:t xml:space="preserve">This note reconciles key commercial claims across the two layers of the Data Room: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Layer A — Governed Commercial Intelligence (Folder 37):</w:t>
      </w:r>
      <w:r>
        <w:t xml:space="preserve"> </w:t>
      </w:r>
      <w:r>
        <w:t xml:space="preserve">Authoritative.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Layer B — Supporting Documentation (Folders 00–36):</w:t>
      </w:r>
      <w:r>
        <w:t xml:space="preserve"> </w:t>
      </w:r>
      <w:r>
        <w:t xml:space="preserve">Supporting.</w:t>
      </w:r>
    </w:p>
    <w:p>
      <w:pPr>
        <w:pStyle w:val="FirstParagraph"/>
      </w:pPr>
      <w:r>
        <w:rPr>
          <w:b/>
          <w:bCs/>
        </w:rPr>
        <w:t xml:space="preserve">Rule:</w:t>
      </w:r>
      <w:r>
        <w:t xml:space="preserve"> </w:t>
      </w:r>
      <w:r>
        <w:t xml:space="preserve">Where the layers conflict, Layer A prevails.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2" w:name="_c965ae94e0e5dfccc9ba496449bc2e53eecf770"/>
      <w:r>
        <w:t xml:space="preserve">2. Reconciled Positions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Reconciled Classification</w:t>
            </w:r>
          </w:p>
        </w:tc>
        <w:tc>
          <w:tcPr/>
          <w:p>
            <w:pPr>
              <w:pStyle w:val="Compact"/>
            </w:pPr>
            <w:r>
              <w:t xml:space="preserve">Notes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Valuation SAR 30M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MANAGEMENT ASSUMPTION</w:t>
            </w:r>
          </w:p>
        </w:tc>
        <w:tc>
          <w:tcPr/>
          <w:p>
            <w:pPr>
              <w:pStyle w:val="Compact"/>
            </w:pPr>
            <w:r>
              <w:t xml:space="preserve">Not verified valuation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Target Raise SAR 7.5M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MANAGEMENT ASSUMPTION</w:t>
            </w:r>
          </w:p>
        </w:tc>
        <w:tc>
          <w:tcPr/>
          <w:p>
            <w:pPr>
              <w:pStyle w:val="Compact"/>
            </w:pPr>
            <w:r>
              <w:t xml:space="preserve">Not secured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Institutional Funding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SAR 0 (ACTUAL)</w:t>
            </w:r>
          </w:p>
        </w:tc>
        <w:tc>
          <w:tcPr/>
          <w:p>
            <w:pPr>
              <w:pStyle w:val="Compact"/>
            </w:pPr>
            <w:r>
              <w:t xml:space="preserve">Pre-funding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Market Size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UNKNOWN</w:t>
            </w:r>
          </w:p>
        </w:tc>
        <w:tc>
          <w:tcPr/>
          <w:p>
            <w:pPr>
              <w:pStyle w:val="Compact"/>
            </w:pPr>
            <w:r>
              <w:t xml:space="preserve">Conflicting sources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SAM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UNKNOWN</w:t>
            </w:r>
          </w:p>
        </w:tc>
        <w:tc>
          <w:tcPr/>
          <w:p>
            <w:pPr>
              <w:pStyle w:val="Compact"/>
            </w:pPr>
            <w:r>
              <w:t xml:space="preserve">Requires bottom-up</w:t>
            </w:r>
          </w:p>
        </w:tc>
      </w:tr>
      <w:tr>
        <w:tc>
          <w:tcPr/>
          <w:p>
            <w:pPr>
              <w:pStyle w:val="Compact"/>
            </w:pPr>
            <w:r>
              <w:t xml:space="preserve">SOM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SCENARIO</w:t>
            </w:r>
          </w:p>
        </w:tc>
        <w:tc>
          <w:tcPr/>
          <w:p>
            <w:pPr>
              <w:pStyle w:val="Compact"/>
            </w:pPr>
            <w:r>
              <w:t xml:space="preserve">Not validated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Revenue Y5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SCENARIO</w:t>
            </w:r>
          </w:p>
        </w:tc>
        <w:tc>
          <w:tcPr/>
          <w:p>
            <w:pPr>
              <w:pStyle w:val="Compact"/>
            </w:pPr>
            <w:r>
              <w:t xml:space="preserve">No actual data</w:t>
            </w:r>
          </w:p>
        </w:tc>
      </w:tr>
      <w:tr>
        <w:tc>
          <w:tcPr/>
          <w:p>
            <w:pPr>
              <w:pStyle w:val="Compact"/>
            </w:pPr>
            <w:r>
              <w:t xml:space="preserve">Customer Count Y5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SCENARIO</w:t>
            </w:r>
          </w:p>
        </w:tc>
        <w:tc>
          <w:tcPr/>
          <w:p>
            <w:pPr>
              <w:pStyle w:val="Compact"/>
            </w:pPr>
            <w:r>
              <w:t xml:space="preserve">No actual data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ACV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SCENARIO</w:t>
            </w:r>
          </w:p>
        </w:tc>
        <w:tc>
          <w:tcPr/>
          <w:p>
            <w:pPr>
              <w:pStyle w:val="Compact"/>
            </w:pPr>
            <w:r>
              <w:t xml:space="preserve">No WTP data</w:t>
            </w:r>
          </w:p>
        </w:tc>
      </w:tr>
      <w:tr>
        <w:tc>
          <w:tcPr/>
          <w:p>
            <w:pPr>
              <w:pStyle w:val="Compact"/>
            </w:pPr>
            <w:r>
              <w:t xml:space="preserve">WTP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UNKNOWN</w:t>
            </w:r>
          </w:p>
        </w:tc>
        <w:tc>
          <w:tcPr/>
          <w:p>
            <w:pPr>
              <w:pStyle w:val="Compact"/>
            </w:pPr>
            <w:r>
              <w:t xml:space="preserve">No interviews</w:t>
            </w:r>
          </w:p>
        </w:tc>
      </w:tr>
      <w:tr>
        <w:tc>
          <w:tcPr/>
          <w:p>
            <w:pPr>
              <w:pStyle w:val="Compact"/>
            </w:pPr>
            <w:r>
              <w:t xml:space="preserve">Customer Interviews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0 (ACTUAL)</w:t>
            </w:r>
          </w:p>
        </w:tc>
        <w:tc>
          <w:tcPr/>
          <w:p>
            <w:pPr>
              <w:pStyle w:val="Compact"/>
            </w:pPr>
            <w:r>
              <w:t xml:space="preserve">None conducted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Traction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0 (ACTUAL)</w:t>
            </w:r>
          </w:p>
        </w:tc>
        <w:tc>
          <w:tcPr/>
          <w:p>
            <w:pPr>
              <w:pStyle w:val="Compact"/>
            </w:pPr>
            <w:r>
              <w:t xml:space="preserve">No customers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Regulatory Approval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NONE</w:t>
            </w:r>
          </w:p>
        </w:tc>
        <w:tc>
          <w:tcPr/>
          <w:p>
            <w:pPr>
              <w:pStyle w:val="Compact"/>
            </w:pPr>
            <w:r>
              <w:t xml:space="preserve">Not certified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Competitive Differentiation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MANAGEMENT ASSUMPTION</w:t>
            </w:r>
          </w:p>
        </w:tc>
        <w:tc>
          <w:tcPr/>
          <w:p>
            <w:pPr>
              <w:pStyle w:val="Compact"/>
            </w:pPr>
            <w:r>
              <w:t xml:space="preserve">Requires validation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3" w:name="_e4b4fcdf58225f6bb94cb5d9a757b84ae2e8ca0"/>
      <w:r>
        <w:t xml:space="preserve">3. Key Discrepancies Resolved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Discrepancy</w:t>
            </w:r>
          </w:p>
        </w:tc>
        <w:tc>
          <w:tcPr/>
          <w:p>
            <w:pPr>
              <w:pStyle w:val="Compact"/>
            </w:pPr>
            <w:r>
              <w:t xml:space="preserve">Layer A</w:t>
            </w:r>
          </w:p>
        </w:tc>
        <w:tc>
          <w:tcPr/>
          <w:p>
            <w:pPr>
              <w:pStyle w:val="Compact"/>
            </w:pPr>
            <w:r>
              <w:t xml:space="preserve">Layer B</w:t>
            </w:r>
          </w:p>
        </w:tc>
        <w:tc>
          <w:tcPr/>
          <w:p>
            <w:pPr>
              <w:pStyle w:val="Compact"/>
            </w:pPr>
            <w:r>
              <w:t xml:space="preserve">Reconciled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Valuation</w:t>
            </w:r>
          </w:p>
        </w:tc>
        <w:tc>
          <w:tcPr/>
          <w:p>
            <w:pPr>
              <w:pStyle w:val="Compact"/>
            </w:pPr>
            <w:r>
              <w:t xml:space="preserve">MGMT ASSUMPTION</w:t>
            </w:r>
          </w:p>
        </w:tc>
        <w:tc>
          <w:tcPr/>
          <w:p>
            <w:pPr>
              <w:pStyle w:val="Compact"/>
            </w:pPr>
            <w:r>
              <w:t xml:space="preserve">“Target”</w:t>
            </w:r>
          </w:p>
        </w:tc>
        <w:tc>
          <w:tcPr/>
          <w:p>
            <w:pPr>
              <w:pStyle w:val="Compact"/>
            </w:pPr>
            <w:r>
              <w:t xml:space="preserve">MGMT ASSUMPTION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Market Size</w:t>
            </w:r>
          </w:p>
        </w:tc>
        <w:tc>
          <w:tcPr/>
          <w:p>
            <w:pPr>
              <w:pStyle w:val="Compact"/>
            </w:pPr>
            <w:r>
              <w:t xml:space="preserve">$124M vs $481M conflict</w:t>
            </w:r>
          </w:p>
        </w:tc>
        <w:tc>
          <w:tcPr/>
          <w:p>
            <w:pPr>
              <w:pStyle w:val="Compact"/>
            </w:pPr>
            <w:r>
              <w:t xml:space="preserve">“USD 15–20B”</w:t>
            </w:r>
          </w:p>
        </w:tc>
        <w:tc>
          <w:tcPr/>
          <w:p>
            <w:pPr>
              <w:pStyle w:val="Compact"/>
            </w:pPr>
            <w:r>
              <w:t xml:space="preserve">UNKNOWN</w:t>
            </w:r>
          </w:p>
        </w:tc>
      </w:tr>
      <w:tr>
        <w:tc>
          <w:tcPr/>
          <w:p>
            <w:pPr>
              <w:pStyle w:val="Compact"/>
            </w:pPr>
            <w:r>
              <w:t xml:space="preserve">Customer Count Y5</w:t>
            </w:r>
          </w:p>
        </w:tc>
        <w:tc>
          <w:tcPr/>
          <w:p>
            <w:pPr>
              <w:pStyle w:val="Compact"/>
            </w:pPr>
            <w:r>
              <w:t xml:space="preserve">SCENARIO</w:t>
            </w:r>
          </w:p>
        </w:tc>
        <w:tc>
          <w:tcPr/>
          <w:p>
            <w:pPr>
              <w:pStyle w:val="Compact"/>
            </w:pPr>
            <w:r>
              <w:t xml:space="preserve">“35”</w:t>
            </w:r>
          </w:p>
        </w:tc>
        <w:tc>
          <w:tcPr/>
          <w:p>
            <w:pPr>
              <w:pStyle w:val="Compact"/>
            </w:pPr>
            <w:r>
              <w:t xml:space="preserve">SCENARIO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Revenue Y5</w:t>
            </w:r>
          </w:p>
        </w:tc>
        <w:tc>
          <w:tcPr/>
          <w:p>
            <w:pPr>
              <w:pStyle w:val="Compact"/>
            </w:pPr>
            <w:r>
              <w:t xml:space="preserve">SCENARIO</w:t>
            </w:r>
          </w:p>
        </w:tc>
        <w:tc>
          <w:tcPr/>
          <w:p>
            <w:pPr>
              <w:pStyle w:val="Compact"/>
            </w:pPr>
            <w:r>
              <w:t xml:space="preserve">“SAR 77M”</w:t>
            </w:r>
          </w:p>
        </w:tc>
        <w:tc>
          <w:tcPr/>
          <w:p>
            <w:pPr>
              <w:pStyle w:val="Compact"/>
            </w:pPr>
            <w:r>
              <w:t xml:space="preserve">SCENARIO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4" w:name="_dc532b5670360bfd104a8162ab329e5f7d04a80"/>
      <w:r>
        <w:t xml:space="preserve">4. Disclosure to Reader</w:t>
      </w:r>
    </w:p>
    <w:p>
      <w:pPr>
        <w:pStyle w:val="FirstParagraph"/>
      </w:pPr>
      <w:r>
        <w:t xml:space="preserve">Any number in this Data Room that lacks a provenance tag is by default: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MANAGEMENT ASSUMPTION</w:t>
      </w:r>
      <w:r>
        <w:t xml:space="preserve"> </w:t>
      </w:r>
      <w:r>
        <w:t xml:space="preserve">— if it is a projection, target, or estimate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UNKNOWN</w:t>
      </w:r>
      <w:r>
        <w:t xml:space="preserve"> </w:t>
      </w:r>
      <w:r>
        <w:t xml:space="preserve">— if it requires evidence that does not yet exist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SCENARIO</w:t>
      </w:r>
      <w:r>
        <w:t xml:space="preserve"> </w:t>
      </w:r>
      <w:r>
        <w:t xml:space="preserve">— if it is a range or scenario value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5" w:name="_0237fa24b36c26fd36dfb691ee95786d4e545e9"/>
      <w:r>
        <w:t xml:space="preserve">5. Recommended Reading</w:t>
      </w:r>
    </w:p>
    <w:p>
      <w:pPr>
        <w:pStyle w:val="Compact"/>
        <w:numPr>
          <w:ilvl w:val="0"/>
          <w:numId w:val="1003"/>
        </w:numPr>
      </w:pPr>
      <w:r>
        <w:t xml:space="preserve">01_INDEX/01_Master_Cover_Note</w:t>
      </w:r>
    </w:p>
    <w:p>
      <w:pPr>
        <w:pStyle w:val="Compact"/>
        <w:numPr>
          <w:ilvl w:val="0"/>
          <w:numId w:val="1003"/>
        </w:numPr>
      </w:pPr>
      <w:r>
        <w:t xml:space="preserve">01_INDEX/02_Data_Room_Master_Index</w:t>
      </w:r>
    </w:p>
    <w:p>
      <w:pPr>
        <w:pStyle w:val="Compact"/>
        <w:numPr>
          <w:ilvl w:val="0"/>
          <w:numId w:val="1003"/>
        </w:numPr>
      </w:pPr>
      <w:r>
        <w:t xml:space="preserve">01_INDEX/03_Reconciliation_Note (this file)</w:t>
      </w:r>
    </w:p>
    <w:p>
      <w:pPr>
        <w:pStyle w:val="Compact"/>
        <w:numPr>
          <w:ilvl w:val="0"/>
          <w:numId w:val="1003"/>
        </w:numPr>
      </w:pPr>
      <w:r>
        <w:t xml:space="preserve">37_COMMERCIAL_INTELLIGENCE_SSOT (Layer A)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6" w:name="_disclaimer"/>
      <w:r>
        <w:t xml:space="preserve">6. Disclaimer</w:t>
      </w:r>
    </w:p>
    <w:p>
      <w:pPr>
        <w:pStyle w:val="FirstParagraph"/>
      </w:pPr>
      <w:r>
        <w:t xml:space="preserve">This Reconciliation Note ensures that readers understand the authority relationship between the two Data Room layers. All reconciling entries are prepared to an audit-ready standard.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HISN FCDOS — Where Trust Begins.</w:t>
      </w:r>
      <w:r>
        <w:t xml:space="preserve"> </w:t>
      </w:r>
      <w:r>
        <w:rPr>
          <w:i/>
          <w:iCs/>
        </w:rPr>
        <w:t xml:space="preserve">Confidential — Not for Distribution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134" w:bottom="1134" w:left="1134" w:header="283" w:footer="454" w:gutter="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Index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ajawal" w:hAnsi="Tajawal" w:cs="Tajawal"/>
      <w:color w:val="2C2C2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ajawal" w:hAnsi="Tajawal" w:cs="Tajawal"/>
      <w:b/>
      <w:color w:val="C9A45B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18" Type="http://schemas.openxmlformats.org/officeDocument/2006/relationships/numbering" Target="numbering.xml"/><Relationship Id="rId17" Type="http://schemas.openxmlformats.org/officeDocument/2006/relationships/styles" Target="styles.xml"/><Relationship Id="rId16" Type="http://schemas.openxmlformats.org/officeDocument/2006/relationships/settings" Target="settings.xml"/><Relationship Id="rId15" Type="http://schemas.openxmlformats.org/officeDocument/2006/relationships/webSettings" Target="webSettings.xml"/><Relationship Id="rId14" Type="http://schemas.openxmlformats.org/officeDocument/2006/relationships/fontTable" Target="fontTable.xml"/><Relationship Id="rId13" Type="http://schemas.openxmlformats.org/officeDocument/2006/relationships/theme" Target="theme/theme1.xml"/><Relationship Id="rId12" Type="http://schemas.openxmlformats.org/officeDocument/2006/relationships/footnotes" Target="footnotes.xml"/><Relationship Id="rId1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03 Reconciliation Note</dc:title>
  <dc:creator>HISN Platform</dc:creator>
  <cp:keywords>HISN, FCDOS, financial crime, decision operating system</cp:keywords>
  <dcterms:created xsi:type="dcterms:W3CDTF">2026-10-14T13:38:32Z</dcterms:created>
  <dcterms:modified xsi:type="dcterms:W3CDTF">2026-10-14T13:38:32Z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