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LAYER_STRUCTURE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b4c0f987e4d637aac3c5aeecab30836c47279c6"/>
      <w:r>
        <w:t xml:space="preserve">DATA ROOM LAYER STRUCTURE</w:t>
      </w:r>
    </w:p>
    <w:p>
      <w:pPr>
        <w:pStyle w:val="FirstParagraph"/>
      </w:pPr>
      <w:r>
        <w:rPr>
          <w:b/>
          <w:bCs/>
        </w:rPr>
        <w:t xml:space="preserve">Purpose:</w:t>
      </w:r>
      <w:r>
        <w:t xml:space="preserve"> </w:t>
      </w:r>
      <w:r>
        <w:t xml:space="preserve">Clarify the relationship between Layer A (Governed Commercial Intelligence) and Layer B (Supporting Documentation).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c745886a118b07f07cf17cd5a5e168dbea34665"/>
      <w:r>
        <w:t xml:space="preserve">1. Layer A — Governed Commercial Intelligence (SSOT)</w:t>
      </w:r>
    </w:p>
    <w:p>
      <w:pPr>
        <w:pStyle w:val="FirstParagraph"/>
      </w:pPr>
      <w:r>
        <w:rPr>
          <w:b/>
          <w:bCs/>
        </w:rPr>
        <w:t xml:space="preserve">Location:</w:t>
      </w:r>
      <w:r>
        <w:t xml:space="preserve"> </w:t>
      </w:r>
      <w:r>
        <w:rPr>
          <w:rStyle w:val="VerbatimChar"/>
        </w:rPr>
        <w:t xml:space="preserve">37_COMMERCIAL_INTELLIGENCE_SSOT/</w:t>
      </w:r>
    </w:p>
    <w:p>
      <w:pPr>
        <w:pStyle w:val="BodyText"/>
      </w:pPr>
      <w:r>
        <w:rPr>
          <w:b/>
          <w:bCs/>
        </w:rPr>
        <w:t xml:space="preserve">Content:</w:t>
      </w:r>
      <w:r>
        <w:t xml:space="preserve"> </w:t>
      </w:r>
      <w:r>
        <w:t xml:space="preserve">35 files across 7 phases:</w:t>
      </w:r>
      <w:r>
        <w:t xml:space="preserve"> </w:t>
      </w:r>
      <w:r>
        <w:t xml:space="preserve">- Phase 1: Market &amp; Governance Foundation (Files 01-05)</w:t>
      </w:r>
      <w:r>
        <w:t xml:space="preserve"> </w:t>
      </w:r>
      <w:r>
        <w:t xml:space="preserve">- Phase 2: Target Accounts &amp; Customer Validation (Files 06-10)</w:t>
      </w:r>
      <w:r>
        <w:t xml:space="preserve"> </w:t>
      </w:r>
      <w:r>
        <w:t xml:space="preserve">- Phase 3: Pricing, WTP, GTM, Sales Economics (Files 11-15)</w:t>
      </w:r>
      <w:r>
        <w:t xml:space="preserve"> </w:t>
      </w:r>
      <w:r>
        <w:t xml:space="preserve">- Phase 4: Financial Model, Use of Funds, KPIs (Files 16-20)</w:t>
      </w:r>
      <w:r>
        <w:t xml:space="preserve"> </w:t>
      </w:r>
      <w:r>
        <w:t xml:space="preserve">- Phase 5: Risk, Market Entry, Partners, IC Case (Files 21-25)</w:t>
      </w:r>
      <w:r>
        <w:t xml:space="preserve"> </w:t>
      </w:r>
      <w:r>
        <w:t xml:space="preserve">- Phase 6: Quality Assurance &amp; Consolidation (Files 26-30)</w:t>
      </w:r>
      <w:r>
        <w:t xml:space="preserve"> </w:t>
      </w:r>
      <w:r>
        <w:t xml:space="preserve">- Phase 7: Final Outputs &amp; Package (Files 31-35)</w:t>
      </w:r>
    </w:p>
    <w:p>
      <w:pPr>
        <w:pStyle w:val="BodyText"/>
      </w:pPr>
      <w:r>
        <w:rPr>
          <w:b/>
          <w:bCs/>
        </w:rPr>
        <w:t xml:space="preserve">Characteristics:</w:t>
      </w:r>
      <w:r>
        <w:t xml:space="preserve"> </w:t>
      </w:r>
      <w:r>
        <w:t xml:space="preserve">- Every number has a provenance classification</w:t>
      </w:r>
      <w:r>
        <w:t xml:space="preserve"> </w:t>
      </w:r>
      <w:r>
        <w:t xml:space="preserve">- Every assumption is documented in the Master Assumption Register (File 27)</w:t>
      </w:r>
      <w:r>
        <w:t xml:space="preserve"> </w:t>
      </w:r>
      <w:r>
        <w:t xml:space="preserve">- Every source is documented in the Master Source &amp; Evidence Register (File 28)</w:t>
      </w:r>
      <w:r>
        <w:t xml:space="preserve"> </w:t>
      </w:r>
      <w:r>
        <w:t xml:space="preserve">- Conflicts are documented (not hidden)</w:t>
      </w:r>
      <w:r>
        <w:t xml:space="preserve"> </w:t>
      </w:r>
      <w:r>
        <w:t xml:space="preserve">- Prohibitions compliance reviewed (File 30)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This is the authoritative commercial reference.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1ba62d56d77ad3ba293d259762ff90620fd4c83"/>
      <w:r>
        <w:t xml:space="preserve">2. Layer B — Supporting Documentation</w:t>
      </w:r>
    </w:p>
    <w:p>
      <w:pPr>
        <w:pStyle w:val="FirstParagraph"/>
      </w:pPr>
      <w:r>
        <w:rPr>
          <w:b/>
          <w:bCs/>
        </w:rPr>
        <w:t xml:space="preserve">Location:</w:t>
      </w:r>
      <w:r>
        <w:t xml:space="preserve"> </w:t>
      </w:r>
      <w:r>
        <w:rPr>
          <w:rStyle w:val="VerbatimChar"/>
        </w:rPr>
        <w:t xml:space="preserve">00_INDEX/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36_POLICIES_MASTER/</w:t>
      </w:r>
    </w:p>
    <w:p>
      <w:pPr>
        <w:pStyle w:val="BodyText"/>
      </w:pPr>
      <w:r>
        <w:rPr>
          <w:b/>
          <w:bCs/>
        </w:rPr>
        <w:t xml:space="preserve">Content:</w:t>
      </w:r>
      <w:r>
        <w:t xml:space="preserve"> </w:t>
      </w:r>
      <w:r>
        <w:t xml:space="preserve">Technical, governance, operational, HR, legal, compliance, brand, and accelerator documents.</w:t>
      </w:r>
    </w:p>
    <w:p>
      <w:pPr>
        <w:pStyle w:val="BodyText"/>
      </w:pPr>
      <w:r>
        <w:rPr>
          <w:b/>
          <w:bCs/>
        </w:rPr>
        <w:t xml:space="preserve">Characteristics:</w:t>
      </w:r>
      <w:r>
        <w:t xml:space="preserve"> </w:t>
      </w:r>
      <w:r>
        <w:t xml:space="preserve">- Operational and process-focused</w:t>
      </w:r>
      <w:r>
        <w:t xml:space="preserve"> </w:t>
      </w:r>
      <w:r>
        <w:t xml:space="preserve">- Governance and policy documents</w:t>
      </w:r>
      <w:r>
        <w:t xml:space="preserve"> </w:t>
      </w:r>
      <w:r>
        <w:t xml:space="preserve">- Technical architecture and product documents</w:t>
      </w:r>
      <w:r>
        <w:t xml:space="preserve"> </w:t>
      </w:r>
      <w:r>
        <w:t xml:space="preserve">- Market, competitor, and pricing overviews (contextual)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Supporting, not authoritative</w:t>
      </w:r>
      <w:r>
        <w:t xml:space="preserve"> </w:t>
      </w:r>
      <w:r>
        <w:t xml:space="preserve">for commercial claims</w:t>
      </w:r>
    </w:p>
    <w:p>
      <w:pPr>
        <w:pStyle w:val="BodyText"/>
      </w:pPr>
      <w:r>
        <w:rPr>
          <w:b/>
          <w:bCs/>
        </w:rPr>
        <w:t xml:space="preserve">Where Layer B contains numerical claims without provenance, those claims are MANAGEMENT ASSUMPTION unless explicitly sourced.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5c2d4a92642e75826f7c3b0e163e6869c0ce10b"/>
      <w:r>
        <w:t xml:space="preserve">3. Reconciliation Principle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If Layer A says…</w:t>
            </w:r>
          </w:p>
        </w:tc>
        <w:tc>
          <w:tcPr/>
          <w:p>
            <w:pPr>
              <w:pStyle w:val="Compact"/>
            </w:pPr>
            <w:r>
              <w:t xml:space="preserve">And Layer B says…</w:t>
            </w:r>
          </w:p>
        </w:tc>
        <w:tc>
          <w:tcPr/>
          <w:p>
            <w:pPr>
              <w:pStyle w:val="Compact"/>
            </w:pPr>
            <w:r>
              <w:t xml:space="preserve">The reader should…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 30M = MGMT ASSUMPTION</w:t>
            </w:r>
          </w:p>
        </w:tc>
        <w:tc>
          <w:tcPr/>
          <w:p>
            <w:pPr>
              <w:pStyle w:val="Compact"/>
            </w:pPr>
            <w:r>
              <w:t xml:space="preserve">SAR 30M =</w:t>
            </w:r>
            <w:r>
              <w:t xml:space="preserve"> </w:t>
            </w:r>
            <w:r>
              <w:t xml:space="preserve">“target”</w:t>
            </w:r>
          </w:p>
        </w:tc>
        <w:tc>
          <w:tcPr/>
          <w:p>
            <w:pPr>
              <w:pStyle w:val="Compact"/>
            </w:pPr>
            <w:r>
              <w:t xml:space="preserve">Treat as MGMT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 = UNKNOWN</w:t>
            </w:r>
          </w:p>
        </w:tc>
        <w:tc>
          <w:tcPr/>
          <w:p>
            <w:pPr>
              <w:pStyle w:val="Compact"/>
            </w:pPr>
            <w:r>
              <w:t xml:space="preserve">SAM = SAR 1.5B</w:t>
            </w:r>
          </w:p>
        </w:tc>
        <w:tc>
          <w:tcPr/>
          <w:p>
            <w:pPr>
              <w:pStyle w:val="Compact"/>
            </w:pPr>
            <w:r>
              <w:t xml:space="preserve">Treat as 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 = SCENARIO</w:t>
            </w:r>
          </w:p>
        </w:tc>
        <w:tc>
          <w:tcPr/>
          <w:p>
            <w:pPr>
              <w:pStyle w:val="Compact"/>
            </w:pPr>
            <w:r>
              <w:t xml:space="preserve">ACV = SAR 1M</w:t>
            </w:r>
          </w:p>
        </w:tc>
        <w:tc>
          <w:tcPr/>
          <w:p>
            <w:pPr>
              <w:pStyle w:val="Compact"/>
            </w:pPr>
            <w:r>
              <w:t xml:space="preserve">Treat as 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Y5 = SCENARIO</w:t>
            </w:r>
          </w:p>
        </w:tc>
        <w:tc>
          <w:tcPr/>
          <w:p>
            <w:pPr>
              <w:pStyle w:val="Compact"/>
            </w:pPr>
            <w:r>
              <w:t xml:space="preserve">Revenue Y5 = SAR 77M</w:t>
            </w:r>
          </w:p>
        </w:tc>
        <w:tc>
          <w:tcPr/>
          <w:p>
            <w:pPr>
              <w:pStyle w:val="Compact"/>
            </w:pPr>
            <w:r>
              <w:t xml:space="preserve">Treat as 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customers</w:t>
            </w:r>
          </w:p>
        </w:tc>
        <w:tc>
          <w:tcPr/>
          <w:p>
            <w:pPr>
              <w:pStyle w:val="Compact"/>
            </w:pPr>
            <w:r>
              <w:t xml:space="preserve">35 customers Y5</w:t>
            </w:r>
          </w:p>
        </w:tc>
        <w:tc>
          <w:tcPr/>
          <w:p>
            <w:pPr>
              <w:pStyle w:val="Compact"/>
            </w:pPr>
            <w:r>
              <w:t xml:space="preserve">Treat as SCENARIO (not traction)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 conflict ($124M vs $481M)</w:t>
            </w:r>
          </w:p>
        </w:tc>
        <w:tc>
          <w:tcPr/>
          <w:p>
            <w:pPr>
              <w:pStyle w:val="Compact"/>
            </w:pPr>
            <w:r>
              <w:t xml:space="preserve">TAM = $15-20B</w:t>
            </w:r>
          </w:p>
        </w:tc>
        <w:tc>
          <w:tcPr/>
          <w:p>
            <w:pPr>
              <w:pStyle w:val="Compact"/>
            </w:pPr>
            <w:r>
              <w:t xml:space="preserve">Treat as UNKNOWN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Rule: Layer A prevails.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b4d86dfe84bf468207ce1ce7d648571d1a094af"/>
      <w:r>
        <w:t xml:space="preserve">4. How to Read Layer B</w:t>
      </w:r>
    </w:p>
    <w:p>
      <w:pPr>
        <w:pStyle w:val="FirstParagraph"/>
      </w:pPr>
      <w:r>
        <w:t xml:space="preserve">When reading Layer B files: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 for provenance tags.</w:t>
      </w:r>
      <w:r>
        <w:t xml:space="preserve"> </w:t>
      </w:r>
      <w:r>
        <w:t xml:space="preserve">If a number has no tag, assume MGMT ASSUMPTION.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Cross-reference with Layer A.</w:t>
      </w:r>
      <w:r>
        <w:t xml:space="preserve"> </w:t>
      </w:r>
      <w:r>
        <w:t xml:space="preserve">If Layer A marks it UNKNOWN, treat it as UNKNOWN.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Look for the file footer.</w:t>
      </w:r>
      <w:r>
        <w:t xml:space="preserve"> </w:t>
      </w:r>
      <w:r>
        <w:t xml:space="preserve">Many Layer B files include a note about their classification.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in doubt, ask.</w:t>
      </w:r>
      <w:r>
        <w:t xml:space="preserve"> </w:t>
      </w:r>
      <w:r>
        <w:t xml:space="preserve">HISN management can provide clarification on any number.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9273ab8aaa58708fa85aeb9b20ed5825047d40f"/>
      <w:r>
        <w:t xml:space="preserve">5. Why Two Layers?</w:t>
      </w:r>
    </w:p>
    <w:p>
      <w:pPr>
        <w:pStyle w:val="FirstParagraph"/>
      </w:pPr>
      <w:r>
        <w:t xml:space="preserve">Layer A was built to the strictest governance standard (Commercial Model Governance Manual v1.0). It documents methodology, sources, assumptions, and unknowns.</w:t>
      </w:r>
    </w:p>
    <w:p>
      <w:pPr>
        <w:pStyle w:val="BodyText"/>
      </w:pPr>
      <w:r>
        <w:t xml:space="preserve">Layer B was built for operational and practical use — investor pitch, bank due diligence, accelerator applications, governance. It contains context and detail not suitable for Layer A’s strict provenance framework.</w:t>
      </w:r>
    </w:p>
    <w:p>
      <w:pPr>
        <w:pStyle w:val="BodyText"/>
      </w:pPr>
      <w:r>
        <w:rPr>
          <w:b/>
          <w:bCs/>
        </w:rPr>
        <w:t xml:space="preserve">Both layers are necessary. Neither replaces the other.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structure ensures that no reader is misled by unsourced numbers, and that all commercial claims are traceable to their evidence.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 STRUCTURE</dc:title>
  <dc:creator>HISN Platform</dc:creator>
  <cp:keywords>HISN, FCDOS, financial crime, decision operating system</cp:keywords>
  <dcterms:created xsi:type="dcterms:W3CDTF">2026-10-14T11:23:00Z</dcterms:created>
  <dcterms:modified xsi:type="dcterms:W3CDTF">2026-10-14T11:23:00Z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