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01_Architecture_Overview</w:t>
      </w:r>
    </w:p>
    <w:p>
      <w:pPr>
        <w:pStyle w:val="Heading1"/>
      </w:pPr>
      <w:bookmarkStart w:id="19" w:name="_83d40af912e35061b2b6dbca070df6d00143d4a"/>
      <w:r>
        <w:t xml:space="preserve">Architecture Overview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Chief Technology Officer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Framework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df3d0f1cc916325ee18f97ce3e72745a510564f"/>
      <w:r>
        <w:t xml:space="preserve">Document Control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Title</w:t>
            </w:r>
          </w:p>
        </w:tc>
        <w:tc>
          <w:tcPr/>
          <w:p>
            <w:pPr>
              <w:pStyle w:val="Compact"/>
            </w:pPr>
            <w:r>
              <w:t xml:space="preserve">Architecture Overview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October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Basis of Preparation</w:t>
            </w:r>
          </w:p>
        </w:tc>
        <w:tc>
          <w:tcPr/>
          <w:p>
            <w:pPr>
              <w:pStyle w:val="Compact"/>
            </w:pPr>
            <w:r>
              <w:t xml:space="preserve">Repository architecture documentation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Limitations</w:t>
            </w:r>
          </w:p>
        </w:tc>
        <w:tc>
          <w:tcPr/>
          <w:p>
            <w:pPr>
              <w:pStyle w:val="Compact"/>
            </w:pPr>
            <w:r>
              <w:t xml:space="preserve">No independent architecture review. No production deployment.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Provenance Taxonomy</w:t>
            </w:r>
          </w:p>
        </w:tc>
        <w:tc>
          <w:tcPr/>
          <w:p>
            <w:pPr>
              <w:pStyle w:val="Compact"/>
            </w:pPr>
            <w:r>
              <w:t xml:space="preserve">ACTUAL / EXTERNAL FACT / MANAGEMENT ASSUMPTION / DERIVED / SCENARIO / UNKNOWN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e82fb82bc1db79566e1e810dd43c2aa344bca55"/>
      <w:r>
        <w:t xml:space="preserve">1. Architectural Principle</w:t>
      </w:r>
    </w:p>
    <w:p>
      <w:pPr>
        <w:pStyle w:val="FirstParagraph"/>
      </w:pPr>
      <w:r>
        <w:t xml:space="preserve">HISN is built on one invariant:</w:t>
      </w:r>
    </w:p>
    <w:p>
      <w:pPr>
        <w:pStyle w:val="BodyText"/>
      </w:pPr>
      <w:r>
        <w:rPr>
          <w:b/>
          <w:bCs/>
        </w:rPr>
        <w:t xml:space="preserve">ONE SEMANTIC OWNER / ONE CONTRACT / ONE RUNTIME PATH / ONE PERSISTENCE AUTHORITY / ONE EVIDENCE TRAIL / ONE GOLDEN PATH</w:t>
      </w:r>
    </w:p>
    <w:p>
      <w:pPr>
        <w:pStyle w:val="BodyText"/>
      </w:pPr>
      <w:r>
        <w:t xml:space="preserve">This invariant prevents architectural drift. It is documented in ADRs (repository).</w:t>
      </w:r>
    </w:p>
    <w:p>
      <w:pPr>
        <w:pStyle w:val="BodyText"/>
      </w:pPr>
      <w:r>
        <w:rPr>
          <w:b/>
          <w:bCs/>
        </w:rPr>
        <w:t xml:space="preserve">Classification:</w:t>
      </w:r>
      <w:r>
        <w:t xml:space="preserve"> </w:t>
      </w:r>
      <w:r>
        <w:t xml:space="preserve">ACTUAL — documented in repository.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41885f72c48a8ab53d2e729d97e419878a8ae0f"/>
      <w:r>
        <w:t xml:space="preserve">2. Platform Components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Component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Canonical Decision Runtime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Engine Registry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AML Engine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Fraud Engine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Sanctions Engine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KYC Engine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KYB Engine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Graph Engine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Decision DNA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Fabric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 Chain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Multi-tenant RLS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API Layer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Frontend (Next.js)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b227e8469fac93a5b383383e957a468c7bb874f"/>
      <w:r>
        <w:t xml:space="preserve">3. Data Flow (High Level)</w:t>
      </w:r>
    </w:p>
    <w:p>
      <w:pPr>
        <w:pStyle w:val="FirstParagraph"/>
      </w:pPr>
      <w:r>
        <w:t xml:space="preserve">Source Systems (Bank / Insurance / Exchange)</w:t>
      </w:r>
      <w:r>
        <w:t xml:space="preserve"> </w:t>
      </w:r>
      <w:r>
        <w:t xml:space="preserve">↓</w:t>
      </w:r>
      <w:r>
        <w:t xml:space="preserve"> </w:t>
      </w:r>
      <w:r>
        <w:t xml:space="preserve">Canonical Transaction API</w:t>
      </w:r>
      <w:r>
        <w:t xml:space="preserve"> </w:t>
      </w:r>
      <w:r>
        <w:t xml:space="preserve">↓</w:t>
      </w:r>
      <w:r>
        <w:t xml:space="preserve"> </w:t>
      </w:r>
      <w:r>
        <w:t xml:space="preserve">Identity → Screening → Detection → Risk → Policy</w:t>
      </w:r>
      <w:r>
        <w:t xml:space="preserve"> </w:t>
      </w:r>
      <w:r>
        <w:t xml:space="preserve">↓</w:t>
      </w:r>
      <w:r>
        <w:t xml:space="preserve"> </w:t>
      </w:r>
      <w:r>
        <w:t xml:space="preserve">Canonical Decision Runtime</w:t>
      </w:r>
      <w:r>
        <w:t xml:space="preserve"> </w:t>
      </w:r>
      <w:r>
        <w:t xml:space="preserve">↓</w:t>
      </w:r>
      <w:r>
        <w:t xml:space="preserve"> </w:t>
      </w:r>
      <w:r>
        <w:t xml:space="preserve">Decision DNA + Evidence + Audit</w:t>
      </w:r>
      <w:r>
        <w:t xml:space="preserve"> </w:t>
      </w:r>
      <w:r>
        <w:t xml:space="preserve">↓</w:t>
      </w:r>
      <w:r>
        <w:t xml:space="preserve"> </w:t>
      </w:r>
      <w:r>
        <w:t xml:space="preserve">Case / Action / Regulatory Reporting</w:t>
      </w:r>
      <w:r>
        <w:t xml:space="preserve"> </w:t>
      </w:r>
      <w:r>
        <w:t xml:space="preserve">↓</w:t>
      </w:r>
      <w:r>
        <w:t xml:space="preserve"> </w:t>
      </w:r>
      <w:r>
        <w:t xml:space="preserve">Frontend Projection</w:t>
      </w:r>
    </w:p>
    <w:p>
      <w:pPr>
        <w:pStyle w:val="BodyText"/>
      </w:pPr>
      <w:r>
        <w:rPr>
          <w:b/>
          <w:bCs/>
        </w:rPr>
        <w:t xml:space="preserve">Classification:</w:t>
      </w:r>
      <w:r>
        <w:t xml:space="preserve"> </w:t>
      </w:r>
      <w:r>
        <w:t xml:space="preserve">MANAGEMENT ASSESSMENT — verified against repository architecture.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2018070f2ae9c080c821f70d3e52587502d8527"/>
      <w:r>
        <w:t xml:space="preserve">4. Repository Metrics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Python LOC (production)</w:t>
            </w:r>
          </w:p>
        </w:tc>
        <w:tc>
          <w:tcPr/>
          <w:p>
            <w:pPr>
              <w:pStyle w:val="Compact"/>
            </w:pPr>
            <w:r>
              <w:t xml:space="preserve">66,502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TypeScript LOC</w:t>
            </w:r>
          </w:p>
        </w:tc>
        <w:tc>
          <w:tcPr/>
          <w:p>
            <w:pPr>
              <w:pStyle w:val="Compact"/>
            </w:pPr>
            <w:r>
              <w:t xml:space="preserve">23,240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 suites</w:t>
            </w:r>
          </w:p>
        </w:tc>
        <w:tc>
          <w:tcPr/>
          <w:p>
            <w:pPr>
              <w:pStyle w:val="Compact"/>
            </w:pPr>
            <w:r>
              <w:t xml:space="preserve">280+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Migrations</w:t>
            </w:r>
          </w:p>
        </w:tc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Documentation files</w:t>
            </w:r>
          </w:p>
        </w:tc>
        <w:tc>
          <w:tcPr/>
          <w:p>
            <w:pPr>
              <w:pStyle w:val="Compact"/>
            </w:pPr>
            <w:r>
              <w:t xml:space="preserve">830+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Repositories</w:t>
            </w:r>
          </w:p>
        </w:tc>
        <w:tc>
          <w:tcPr/>
          <w:p>
            <w:pPr>
              <w:pStyle w:val="Compact"/>
            </w:pPr>
            <w:r>
              <w:t xml:space="preserve">6 (3 platform + 3 sandbox)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Source:</w:t>
      </w:r>
      <w:r>
        <w:t xml:space="preserve"> </w:t>
      </w:r>
      <w:r>
        <w:t xml:space="preserve">Repository evidence, October 2026.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_1fe8ef279c0803a71d8db0e068ddd95254da2cc"/>
      <w:r>
        <w:t xml:space="preserve">5. Security Architecture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Row-Level Security (RLS)</w:t>
            </w:r>
          </w:p>
        </w:tc>
        <w:tc>
          <w:tcPr/>
          <w:p>
            <w:pPr>
              <w:pStyle w:val="Compact"/>
            </w:pPr>
            <w:r>
              <w:t xml:space="preserve">Implemented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FORCE RLS</w:t>
            </w:r>
          </w:p>
        </w:tc>
        <w:tc>
          <w:tcPr/>
          <w:p>
            <w:pPr>
              <w:pStyle w:val="Compact"/>
            </w:pPr>
            <w:r>
              <w:t xml:space="preserve">Implemented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Encryption at rest</w:t>
            </w:r>
          </w:p>
        </w:tc>
        <w:tc>
          <w:tcPr/>
          <w:p>
            <w:pPr>
              <w:pStyle w:val="Compact"/>
            </w:pPr>
            <w:r>
              <w:t xml:space="preserve">Implemented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Encryption in transit</w:t>
            </w:r>
          </w:p>
        </w:tc>
        <w:tc>
          <w:tcPr/>
          <w:p>
            <w:pPr>
              <w:pStyle w:val="Compact"/>
            </w:pPr>
            <w:r>
              <w:t xml:space="preserve">Implemented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RBAC</w:t>
            </w:r>
          </w:p>
        </w:tc>
        <w:tc>
          <w:tcPr/>
          <w:p>
            <w:pPr>
              <w:pStyle w:val="Compact"/>
            </w:pPr>
            <w:r>
              <w:t xml:space="preserve">Implemented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 logging</w:t>
            </w:r>
          </w:p>
        </w:tc>
        <w:tc>
          <w:tcPr/>
          <w:p>
            <w:pPr>
              <w:pStyle w:val="Compact"/>
            </w:pPr>
            <w:r>
              <w:t xml:space="preserve">Implemented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Tenant isolation tests</w:t>
            </w:r>
          </w:p>
        </w:tc>
        <w:tc>
          <w:tcPr/>
          <w:p>
            <w:pPr>
              <w:pStyle w:val="Compact"/>
            </w:pPr>
            <w:r>
              <w:t xml:space="preserve">Passing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No independent security certification. No SAMA CSF certification.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_fb84ba180ebab0deb7ce26209eb171ed6d367ff"/>
      <w:r>
        <w:t xml:space="preserve">6. Deployment Options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Model</w:t>
            </w:r>
          </w:p>
        </w:tc>
        <w:tc>
          <w:tcPr/>
          <w:p>
            <w:pPr>
              <w:pStyle w:val="Compact"/>
            </w:pPr>
            <w:r>
              <w:t xml:space="preserve">Support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Cloud (KSA region)</w:t>
            </w:r>
          </w:p>
        </w:tc>
        <w:tc>
          <w:tcPr/>
          <w:p>
            <w:pPr>
              <w:pStyle w:val="Compact"/>
            </w:pPr>
            <w:r>
              <w:t xml:space="preserve">Supported</w:t>
            </w:r>
          </w:p>
        </w:tc>
        <w:tc>
          <w:tcPr/>
          <w:p>
            <w:pPr>
              <w:pStyle w:val="Compact"/>
            </w:pPr>
            <w:r>
              <w:t xml:space="preserve">MANAGEMENT ASSESSMENT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Private cloud</w:t>
            </w:r>
          </w:p>
        </w:tc>
        <w:tc>
          <w:tcPr/>
          <w:p>
            <w:pPr>
              <w:pStyle w:val="Compact"/>
            </w:pPr>
            <w:r>
              <w:t xml:space="preserve">Supported</w:t>
            </w:r>
          </w:p>
        </w:tc>
        <w:tc>
          <w:tcPr/>
          <w:p>
            <w:pPr>
              <w:pStyle w:val="Compact"/>
            </w:pPr>
            <w:r>
              <w:t xml:space="preserve">MANAGEMENT ASSESSMENT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On-premise</w:t>
            </w:r>
          </w:p>
        </w:tc>
        <w:tc>
          <w:tcPr/>
          <w:p>
            <w:pPr>
              <w:pStyle w:val="Compact"/>
            </w:pPr>
            <w:r>
              <w:t xml:space="preserve">Supported</w:t>
            </w:r>
          </w:p>
        </w:tc>
        <w:tc>
          <w:tcPr/>
          <w:p>
            <w:pPr>
              <w:pStyle w:val="Compact"/>
            </w:pPr>
            <w:r>
              <w:t xml:space="preserve">MANAGEMENT ASSESSMENT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Hybrid</w:t>
            </w:r>
          </w:p>
        </w:tc>
        <w:tc>
          <w:tcPr/>
          <w:p>
            <w:pPr>
              <w:pStyle w:val="Compact"/>
            </w:pPr>
            <w:r>
              <w:t xml:space="preserve">Supported</w:t>
            </w:r>
          </w:p>
        </w:tc>
        <w:tc>
          <w:tcPr/>
          <w:p>
            <w:pPr>
              <w:pStyle w:val="Compact"/>
            </w:pPr>
            <w:r>
              <w:t xml:space="preserve">MANAGEMENT ASSESSMENT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7" w:name="_a6705f5c5920312b2ba85047a46bc1ab28736b3"/>
      <w:r>
        <w:t xml:space="preserve">7. What Is NOT Yet in Place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Classification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Production deployment</w:t>
            </w:r>
          </w:p>
        </w:tc>
        <w:tc>
          <w:tcPr/>
          <w:p>
            <w:pPr>
              <w:pStyle w:val="Compact"/>
            </w:pPr>
            <w:r>
              <w:t xml:space="preserve">Not done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Independent PenTest</w:t>
            </w:r>
          </w:p>
        </w:tc>
        <w:tc>
          <w:tcPr/>
          <w:p>
            <w:pPr>
              <w:pStyle w:val="Compact"/>
            </w:pPr>
            <w:r>
              <w:t xml:space="preserve">Not conducted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SOC2 / ISO 27001</w:t>
            </w:r>
          </w:p>
        </w:tc>
        <w:tc>
          <w:tcPr/>
          <w:p>
            <w:pPr>
              <w:pStyle w:val="Compact"/>
            </w:pPr>
            <w:r>
              <w:t xml:space="preserve">Not obtained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SAMA CSF certification</w:t>
            </w:r>
          </w:p>
        </w:tc>
        <w:tc>
          <w:tcPr/>
          <w:p>
            <w:pPr>
              <w:pStyle w:val="Compact"/>
            </w:pPr>
            <w:r>
              <w:t xml:space="preserve">Not obtained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SIEM integration</w:t>
            </w:r>
          </w:p>
        </w:tc>
        <w:tc>
          <w:tcPr/>
          <w:p>
            <w:pPr>
              <w:pStyle w:val="Compact"/>
            </w:pPr>
            <w:r>
              <w:t xml:space="preserve">Not deployed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24/7 operations</w:t>
            </w:r>
          </w:p>
        </w:tc>
        <w:tc>
          <w:tcPr/>
          <w:p>
            <w:pPr>
              <w:pStyle w:val="Compact"/>
            </w:pPr>
            <w:r>
              <w:t xml:space="preserve">Not established</w:t>
            </w:r>
          </w:p>
        </w:tc>
        <w:tc>
          <w:tcPr/>
          <w:p>
            <w:pPr>
              <w:pStyle w:val="Compact"/>
            </w:pPr>
            <w:r>
              <w:t xml:space="preserve">ACTUAL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8" w:name="_disclaimer"/>
      <w:r>
        <w:t xml:space="preserve">8. Disclaimer</w:t>
      </w:r>
    </w:p>
    <w:p>
      <w:pPr>
        <w:pStyle w:val="FirstParagraph"/>
      </w:pPr>
      <w:r>
        <w:t xml:space="preserve">This Architecture Overview reflects the repository state as of October 2026.</w:t>
      </w:r>
      <w:r>
        <w:t xml:space="preserve"> </w:t>
      </w:r>
      <w:r>
        <w:rPr>
          <w:b/>
          <w:bCs/>
        </w:rPr>
        <w:t xml:space="preserve">No production deployment has occurred. No independent architecture review has been conducted.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HISN FCDOS — Where Trust Begins.</w:t>
      </w:r>
      <w:r>
        <w:t xml:space="preserve"> </w:t>
      </w: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Technology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Architecture Overview</dc:title>
  <dc:creator>HISN Platform</dc:creator>
  <cp:keywords>HISN, FCDOS, financial crime, decision operating system</cp:keywords>
  <dcterms:created xsi:type="dcterms:W3CDTF">2026-10-14T13:16:31Z</dcterms:created>
  <dcterms:modified xsi:type="dcterms:W3CDTF">2026-10-14T13:16:31Z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