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0ea0af42918e3a078b32770333dc543a54e359"/>
      <w:r>
        <w:t xml:space="preserve">Code Liveness &amp; Provenance Gate — 2026-09-27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Status:</w:t>
      </w:r>
      <w:r>
        <w:t xml:space="preserve"> </w:t>
      </w:r>
      <w:r>
        <w:t xml:space="preserve">OPEN / GOVERNING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Canonical branch:</w:t>
      </w:r>
      <w:r>
        <w:t xml:space="preserve"> </w:t>
      </w:r>
      <w:r>
        <w:rPr>
          <w:rStyle w:val="VerbatimChar"/>
        </w:rPr>
        <w:t xml:space="preserve">main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Current verified repository head at gate opening:</w:t>
      </w:r>
      <w:r>
        <w:t xml:space="preserve"> </w:t>
      </w:r>
      <w:r>
        <w:rPr>
          <w:rStyle w:val="VerbatimChar"/>
        </w:rPr>
        <w:t xml:space="preserve">6b802be2dbce2fef11d9facdd2c8fc363aeae4e3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Purpose:</w:t>
      </w:r>
      <w:r>
        <w:t xml:space="preserve"> </w:t>
      </w:r>
      <w:r>
        <w:t xml:space="preserve">establish executable/runtime purpose for every code-bearing surface before repair, migration, or deletion.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Scope:</w:t>
      </w:r>
      <w:r>
        <w:t xml:space="preserve"> </w:t>
      </w:r>
      <w:r>
        <w:t xml:space="preserve">application code, supporting services, scripts, CLI/operational tooling, adapters, migrations, tests, and legacy compatibility surfaces.</w:t>
      </w:r>
    </w:p>
    <w:p>
      <w:pPr>
        <w:pStyle w:val="Heading2"/>
      </w:pPr>
      <w:bookmarkStart w:id="10" w:name="_decision"/>
      <w:r>
        <w:t xml:space="preserve">1. Decision</w:t>
      </w:r>
    </w:p>
    <w:p>
      <w:pPr>
        <w:pStyle w:val="FirstParagraph"/>
      </w:pPr>
      <w:r>
        <w:t xml:space="preserve">HISN will not classify unverified code as merely</w:t>
      </w:r>
      <w:r>
        <w:t xml:space="preserve"> </w:t>
      </w:r>
      <w:r>
        <w:t xml:space="preserve">“dormant”</w:t>
      </w:r>
      <w:r>
        <w:t xml:space="preserve"> </w:t>
      </w:r>
      <w:r>
        <w:t xml:space="preserve">and will not repair or delete code based only on absence from one import search.</w:t>
      </w:r>
    </w:p>
    <w:p>
      <w:pPr>
        <w:pStyle w:val="BodyText"/>
      </w:pPr>
      <w:r>
        <w:t xml:space="preserve">Every code-bearing surface on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must receive an evidence-backed disposition.</w:t>
      </w:r>
    </w:p>
    <w:p>
      <w:pPr>
        <w:pStyle w:val="BodyText"/>
      </w:pPr>
      <w:r>
        <w:t xml:space="preserve">Approved dispositions: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ACTIVE / RUNTIME-REACHABLE</w:t>
      </w:r>
      <w:r>
        <w:t xml:space="preserve"> </w:t>
      </w:r>
      <w:r>
        <w:t xml:space="preserve">— reachable from an authoritative production entry point and exercised by runtime assurance.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SUPPORT / TRANSITIVELY-REACHABLE</w:t>
      </w:r>
      <w:r>
        <w:t xml:space="preserve"> </w:t>
      </w:r>
      <w:r>
        <w:t xml:space="preserve">— not an entry point itself, but required by an ACTIVE path.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OPERATIONAL</w:t>
      </w:r>
      <w:r>
        <w:t xml:space="preserve"> </w:t>
      </w:r>
      <w:r>
        <w:t xml:space="preserve">— intentionally invoked outside request runtime, such as approved CLI, deployment, migration, scheduled job, or release tooling, with an identifiable caller/contract.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TEST-ONLY</w:t>
      </w:r>
      <w:r>
        <w:t xml:space="preserve"> </w:t>
      </w:r>
      <w:r>
        <w:t xml:space="preserve">— intentionally test support code with no production role.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DYNAMIC-REVIEW</w:t>
      </w:r>
      <w:r>
        <w:t xml:space="preserve"> </w:t>
      </w:r>
      <w:r>
        <w:t xml:space="preserve">— possibly reached through reflection, manifest discovery, plugin loading, serialization, framework registration, or external configuration; static import absence is insufficient.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BROKEN-REACHABLE</w:t>
      </w:r>
      <w:r>
        <w:t xml:space="preserve"> </w:t>
      </w:r>
      <w:r>
        <w:t xml:space="preserve">— a reachable path that imports or executes but fails its required contract.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DEAD</w:t>
      </w:r>
      <w:r>
        <w:t xml:space="preserve"> </w:t>
      </w:r>
      <w:r>
        <w:t xml:space="preserve">— no production, operational, test, dynamic, or contractual consumer remains after reconciliation.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ARCHIVE-ONLY</w:t>
      </w:r>
      <w:r>
        <w:t xml:space="preserve"> </w:t>
      </w:r>
      <w:r>
        <w:t xml:space="preserve">— historical material explicitly excluded from runtime/build/deployment inputs.</w:t>
      </w:r>
    </w:p>
    <w:p>
      <w:pPr>
        <w:pStyle w:val="FirstParagraph"/>
      </w:pPr>
      <w:r>
        <w:t xml:space="preserve">No eighth/euphemistic</w:t>
      </w:r>
      <w:r>
        <w:t xml:space="preserve"> </w:t>
      </w:r>
      <w:r>
        <w:t xml:space="preserve">“dormant implementation”</w:t>
      </w:r>
      <w:r>
        <w:t xml:space="preserve"> </w:t>
      </w:r>
      <w:r>
        <w:t xml:space="preserve">state is permitted for production-bearing code.</w:t>
      </w:r>
    </w:p>
    <w:p>
      <w:pPr>
        <w:pStyle w:val="Heading2"/>
      </w:pPr>
      <w:bookmarkStart w:id="11" w:name="_abe27a334c99da502473822d8cd59ae8b2a8992"/>
      <w:r>
        <w:t xml:space="preserve">2. Evidence standard</w:t>
      </w:r>
    </w:p>
    <w:p>
      <w:pPr>
        <w:pStyle w:val="FirstParagraph"/>
      </w:pPr>
      <w:r>
        <w:t xml:space="preserve">A code surface is not declared DEAD because:</w:t>
      </w:r>
    </w:p>
    <w:p>
      <w:pPr>
        <w:pStyle w:val="Compact"/>
        <w:numPr>
          <w:ilvl w:val="0"/>
          <w:numId w:val="1003"/>
        </w:numPr>
      </w:pPr>
      <w:r>
        <w:t xml:space="preserve">no direct import was found;</w:t>
      </w:r>
    </w:p>
    <w:p>
      <w:pPr>
        <w:pStyle w:val="Compact"/>
        <w:numPr>
          <w:ilvl w:val="0"/>
          <w:numId w:val="1003"/>
        </w:numPr>
      </w:pPr>
      <w:r>
        <w:t xml:space="preserve">a test does not mention it;</w:t>
      </w:r>
    </w:p>
    <w:p>
      <w:pPr>
        <w:pStyle w:val="Compact"/>
        <w:numPr>
          <w:ilvl w:val="0"/>
          <w:numId w:val="1003"/>
        </w:numPr>
      </w:pPr>
      <w:r>
        <w:t xml:space="preserve">a router is not visible;</w:t>
      </w:r>
    </w:p>
    <w:p>
      <w:pPr>
        <w:pStyle w:val="Compact"/>
        <w:numPr>
          <w:ilvl w:val="0"/>
          <w:numId w:val="1003"/>
        </w:numPr>
      </w:pPr>
      <w:r>
        <w:t xml:space="preserve">a manifest looks stale;</w:t>
      </w:r>
    </w:p>
    <w:p>
      <w:pPr>
        <w:pStyle w:val="Compact"/>
        <w:numPr>
          <w:ilvl w:val="0"/>
          <w:numId w:val="1003"/>
        </w:numPr>
      </w:pPr>
      <w:r>
        <w:t xml:space="preserve">a symbol appears duplicated.</w:t>
      </w:r>
    </w:p>
    <w:p>
      <w:pPr>
        <w:pStyle w:val="FirstParagraph"/>
      </w:pPr>
      <w:r>
        <w:t xml:space="preserve">The audit must consider:</w:t>
      </w:r>
    </w:p>
    <w:p>
      <w:pPr>
        <w:pStyle w:val="Compact"/>
        <w:numPr>
          <w:ilvl w:val="0"/>
          <w:numId w:val="1004"/>
        </w:numPr>
      </w:pPr>
      <w:r>
        <w:t xml:space="preserve">application entry points;</w:t>
      </w:r>
    </w:p>
    <w:p>
      <w:pPr>
        <w:pStyle w:val="Compact"/>
        <w:numPr>
          <w:ilvl w:val="0"/>
          <w:numId w:val="1004"/>
        </w:numPr>
      </w:pPr>
      <w:r>
        <w:t xml:space="preserve">ASGI/WSGI/CLI entry points;</w:t>
      </w:r>
    </w:p>
    <w:p>
      <w:pPr>
        <w:pStyle w:val="Compact"/>
        <w:numPr>
          <w:ilvl w:val="0"/>
          <w:numId w:val="1004"/>
        </w:numPr>
      </w:pPr>
      <w:r>
        <w:t xml:space="preserve">Docker entrypoints and commands;</w:t>
      </w:r>
    </w:p>
    <w:p>
      <w:pPr>
        <w:pStyle w:val="Compact"/>
        <w:numPr>
          <w:ilvl w:val="0"/>
          <w:numId w:val="1004"/>
        </w:numPr>
      </w:pPr>
      <w:r>
        <w:t xml:space="preserve">Procfile/Railway/deployment commands;</w:t>
      </w:r>
    </w:p>
    <w:p>
      <w:pPr>
        <w:pStyle w:val="Compact"/>
        <w:numPr>
          <w:ilvl w:val="0"/>
          <w:numId w:val="1004"/>
        </w:numPr>
      </w:pPr>
      <w:r>
        <w:t xml:space="preserve">background workers and scheduled jobs;</w:t>
      </w:r>
    </w:p>
    <w:p>
      <w:pPr>
        <w:pStyle w:val="Compact"/>
        <w:numPr>
          <w:ilvl w:val="0"/>
          <w:numId w:val="1004"/>
        </w:numPr>
      </w:pPr>
      <w:r>
        <w:t xml:space="preserve">event handlers/subscribers;</w:t>
      </w:r>
    </w:p>
    <w:p>
      <w:pPr>
        <w:pStyle w:val="Compact"/>
        <w:numPr>
          <w:ilvl w:val="0"/>
          <w:numId w:val="1004"/>
        </w:numPr>
      </w:pPr>
      <w:r>
        <w:t xml:space="preserve">registry and plugin discovery;</w:t>
      </w:r>
    </w:p>
    <w:p>
      <w:pPr>
        <w:pStyle w:val="Compact"/>
        <w:numPr>
          <w:ilvl w:val="0"/>
          <w:numId w:val="1004"/>
        </w:numPr>
      </w:pPr>
      <w:r>
        <w:t xml:space="preserve">manifest/config-driven loading;</w:t>
      </w:r>
    </w:p>
    <w:p>
      <w:pPr>
        <w:pStyle w:val="Compact"/>
        <w:numPr>
          <w:ilvl w:val="0"/>
          <w:numId w:val="1004"/>
        </w:numPr>
      </w:pPr>
      <w:r>
        <w:t xml:space="preserve">dynamic imports/reflection;</w:t>
      </w:r>
    </w:p>
    <w:p>
      <w:pPr>
        <w:pStyle w:val="Compact"/>
        <w:numPr>
          <w:ilvl w:val="0"/>
          <w:numId w:val="1004"/>
        </w:numPr>
      </w:pPr>
      <w:r>
        <w:t xml:space="preserve">migrations and release tooling;</w:t>
      </w:r>
    </w:p>
    <w:p>
      <w:pPr>
        <w:pStyle w:val="Compact"/>
        <w:numPr>
          <w:ilvl w:val="0"/>
          <w:numId w:val="1004"/>
        </w:numPr>
      </w:pPr>
      <w:r>
        <w:t xml:space="preserve">scripts invoked by CI/release/operations;</w:t>
      </w:r>
    </w:p>
    <w:p>
      <w:pPr>
        <w:pStyle w:val="Compact"/>
        <w:numPr>
          <w:ilvl w:val="0"/>
          <w:numId w:val="1004"/>
        </w:numPr>
      </w:pPr>
      <w:r>
        <w:t xml:space="preserve">test fixtures and test-only helpers;</w:t>
      </w:r>
    </w:p>
    <w:p>
      <w:pPr>
        <w:pStyle w:val="Compact"/>
        <w:numPr>
          <w:ilvl w:val="0"/>
          <w:numId w:val="1004"/>
        </w:numPr>
      </w:pPr>
      <w:r>
        <w:t xml:space="preserve">filesystem/build inclusion;</w:t>
      </w:r>
    </w:p>
    <w:p>
      <w:pPr>
        <w:pStyle w:val="Compact"/>
        <w:numPr>
          <w:ilvl w:val="0"/>
          <w:numId w:val="1004"/>
        </w:numPr>
      </w:pPr>
      <w:r>
        <w:t xml:space="preserve">explicit documented external contracts.</w:t>
      </w:r>
    </w:p>
    <w:p>
      <w:pPr>
        <w:pStyle w:val="Heading2"/>
      </w:pPr>
      <w:bookmarkStart w:id="12" w:name="_5908b0750d4e7b6ab0debf81c11b66885128ebd"/>
      <w:r>
        <w:t xml:space="preserve">3. Required execution proof</w:t>
      </w:r>
    </w:p>
    <w:p>
      <w:pPr>
        <w:pStyle w:val="FirstParagraph"/>
      </w:pPr>
      <w:r>
        <w:t xml:space="preserve">Static reachability is necessary but not sufficient.</w:t>
      </w:r>
    </w:p>
    <w:p>
      <w:pPr>
        <w:pStyle w:val="BodyText"/>
      </w:pPr>
      <w:r>
        <w:t xml:space="preserve">For every production-reachable slice, assurance must prove at least:</w:t>
      </w:r>
    </w:p>
    <w:p>
      <w:pPr>
        <w:pStyle w:val="Compact"/>
        <w:numPr>
          <w:ilvl w:val="0"/>
          <w:numId w:val="1005"/>
        </w:numPr>
      </w:pPr>
      <w:r>
        <w:t xml:space="preserve">module import/load;</w:t>
      </w:r>
    </w:p>
    <w:p>
      <w:pPr>
        <w:pStyle w:val="Compact"/>
        <w:numPr>
          <w:ilvl w:val="0"/>
          <w:numId w:val="1005"/>
        </w:numPr>
      </w:pPr>
      <w:r>
        <w:t xml:space="preserve">primary callable/route construction;</w:t>
      </w:r>
    </w:p>
    <w:p>
      <w:pPr>
        <w:pStyle w:val="Compact"/>
        <w:numPr>
          <w:ilvl w:val="0"/>
          <w:numId w:val="1005"/>
        </w:numPr>
      </w:pPr>
      <w:r>
        <w:t xml:space="preserve">success-path execution;</w:t>
      </w:r>
    </w:p>
    <w:p>
      <w:pPr>
        <w:pStyle w:val="Compact"/>
        <w:numPr>
          <w:ilvl w:val="0"/>
          <w:numId w:val="1005"/>
        </w:numPr>
      </w:pPr>
      <w:r>
        <w:t xml:space="preserve">failure-path behavior where security-relevant;</w:t>
      </w:r>
    </w:p>
    <w:p>
      <w:pPr>
        <w:pStyle w:val="Compact"/>
        <w:numPr>
          <w:ilvl w:val="0"/>
          <w:numId w:val="1005"/>
        </w:numPr>
      </w:pPr>
      <w:r>
        <w:t xml:space="preserve">authorization/tenant boundary where applicable;</w:t>
      </w:r>
    </w:p>
    <w:p>
      <w:pPr>
        <w:pStyle w:val="Compact"/>
        <w:numPr>
          <w:ilvl w:val="0"/>
          <w:numId w:val="1005"/>
        </w:numPr>
      </w:pPr>
      <w:r>
        <w:t xml:space="preserve">persistence/transaction behavior where applicable;</w:t>
      </w:r>
    </w:p>
    <w:p>
      <w:pPr>
        <w:pStyle w:val="Compact"/>
        <w:numPr>
          <w:ilvl w:val="0"/>
          <w:numId w:val="1005"/>
        </w:numPr>
      </w:pPr>
      <w:r>
        <w:t xml:space="preserve">observability/audit behavior where applicable.</w:t>
      </w:r>
    </w:p>
    <w:p>
      <w:pPr>
        <w:pStyle w:val="FirstParagraph"/>
      </w:pPr>
      <w:r>
        <w:t xml:space="preserve">Coverage numbers alone do not establish architectural liveness.</w:t>
      </w:r>
    </w:p>
    <w:p>
      <w:pPr>
        <w:pStyle w:val="Heading2"/>
      </w:pPr>
      <w:bookmarkStart w:id="13" w:name="_453f9a0685447f2c7b0fdb4f3b3e901483ecc22"/>
      <w:r>
        <w:t xml:space="preserve">4. Current repository findings at gate opening</w:t>
      </w:r>
    </w:p>
    <w:p>
      <w:pPr>
        <w:pStyle w:val="FirstParagraph"/>
      </w:pPr>
      <w:r>
        <w:t xml:space="preserve">The current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contains a pre-existing forensic census reporting</w:t>
      </w:r>
      <w:r>
        <w:t xml:space="preserve"> </w:t>
      </w:r>
      <w:r>
        <w:rPr>
          <w:b/>
          <w:bCs/>
        </w:rPr>
        <w:t xml:space="preserve">977 files</w:t>
      </w:r>
      <w:r>
        <w:t xml:space="preserve"> </w:t>
      </w:r>
      <w:r>
        <w:t xml:space="preserve">across multiple top-level code surfaces, including</w:t>
      </w:r>
      <w:r>
        <w:t xml:space="preserve"> </w:t>
      </w:r>
      <w:r>
        <w:rPr>
          <w:rStyle w:val="VerbatimChar"/>
        </w:rPr>
        <w:t xml:space="preserve">src/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backend/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services/</w:t>
      </w:r>
      <w:r>
        <w:t xml:space="preserve">,</w:t>
      </w:r>
      <w:r>
        <w:t xml:space="preserve"> </w:t>
      </w:r>
      <w:r>
        <w:rPr>
          <w:rStyle w:val="VerbatimChar"/>
        </w:rPr>
        <w:t xml:space="preserve">frontend/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module-template/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generators/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</w:t>
      </w:r>
      <w:r>
        <w:t xml:space="preserve">, and other historical/operational trees.</w:t>
      </w:r>
    </w:p>
    <w:p>
      <w:pPr>
        <w:pStyle w:val="BodyText"/>
      </w:pPr>
      <w:r>
        <w:t xml:space="preserve">The same forensic material records substantial duplicate symbols and multiple historical/canonical-looking implementations.</w:t>
      </w:r>
    </w:p>
    <w:p>
      <w:pPr>
        <w:pStyle w:val="BodyText"/>
      </w:pPr>
      <w:r>
        <w:t xml:space="preserve">Therefore a Consent-only cleanup would be insufficient. The required work is a repository-wide provenance pass, with Consent treated as the first confirmed example of an unreachable/non-executable surface rather than as an isolated exception.</w:t>
      </w:r>
    </w:p>
    <w:p>
      <w:pPr>
        <w:pStyle w:val="Heading2"/>
      </w:pPr>
      <w:bookmarkStart w:id="14" w:name="_85cf211d6689f1522c78ab7e133009ef33d882c"/>
      <w:r>
        <w:t xml:space="preserve">5. Confirmed Consent evidence</w:t>
      </w:r>
    </w:p>
    <w:p>
      <w:pPr>
        <w:pStyle w:val="FirstParagraph"/>
      </w:pPr>
      <w:r>
        <w:t xml:space="preserve">As of the current gate:</w:t>
      </w:r>
    </w:p>
    <w:p>
      <w:pPr>
        <w:pStyle w:val="Compact"/>
        <w:numPr>
          <w:ilvl w:val="0"/>
          <w:numId w:val="1006"/>
        </w:numPr>
      </w:pPr>
      <w:r>
        <w:t xml:space="preserve">canonical app composition contains no Consent route;</w:t>
      </w:r>
    </w:p>
    <w:p>
      <w:pPr>
        <w:pStyle w:val="Compact"/>
        <w:numPr>
          <w:ilvl w:val="0"/>
          <w:numId w:val="1006"/>
        </w:numPr>
      </w:pPr>
      <w:r>
        <w:t xml:space="preserve">canonical container contains no Consent service/aggregate registration;</w:t>
      </w:r>
    </w:p>
    <w:p>
      <w:pPr>
        <w:pStyle w:val="Compact"/>
        <w:numPr>
          <w:ilvl w:val="0"/>
          <w:numId w:val="1006"/>
        </w:numPr>
      </w:pPr>
      <w:r>
        <w:t xml:space="preserve">no production consumer of</w:t>
      </w:r>
      <w:r>
        <w:t xml:space="preserve"> </w:t>
      </w:r>
      <w:r>
        <w:rPr>
          <w:rStyle w:val="VerbatimChar"/>
        </w:rPr>
        <w:t xml:space="preserve">ConsentAggregate</w:t>
      </w:r>
      <w:r>
        <w:t xml:space="preserve"> </w:t>
      </w:r>
      <w:r>
        <w:t xml:space="preserve">was found;</w:t>
      </w:r>
    </w:p>
    <w:p>
      <w:pPr>
        <w:pStyle w:val="Compact"/>
        <w:numPr>
          <w:ilvl w:val="0"/>
          <w:numId w:val="1006"/>
        </w:numPr>
      </w:pPr>
      <w:r>
        <w:t xml:space="preserve">no external production construction of Consent events was found;</w:t>
      </w:r>
    </w:p>
    <w:p>
      <w:pPr>
        <w:pStyle w:val="Compact"/>
        <w:numPr>
          <w:ilvl w:val="0"/>
          <w:numId w:val="1006"/>
        </w:numPr>
      </w:pPr>
      <w:r>
        <w:t xml:space="preserve">no standalone Consent persistence/table surface was found;</w:t>
      </w:r>
    </w:p>
    <w:p>
      <w:pPr>
        <w:pStyle w:val="Compact"/>
        <w:numPr>
          <w:ilvl w:val="0"/>
          <w:numId w:val="1006"/>
        </w:numPr>
      </w:pPr>
      <w:r>
        <w:t xml:space="preserve">direct execution of</w:t>
      </w:r>
      <w:r>
        <w:t xml:space="preserve"> </w:t>
      </w:r>
      <w:r>
        <w:rPr>
          <w:rStyle w:val="VerbatimChar"/>
        </w:rPr>
        <w:t xml:space="preserve">ConsentAggregate.give()</w:t>
      </w:r>
      <w:r>
        <w:t xml:space="preserve"> </w:t>
      </w:r>
      <w:r>
        <w:t xml:space="preserve">raises</w:t>
      </w:r>
      <w:r>
        <w:t xml:space="preserve"> </w:t>
      </w:r>
      <w:r>
        <w:rPr>
          <w:rStyle w:val="VerbatimChar"/>
        </w:rPr>
        <w:t xml:space="preserve">NameError</w:t>
      </w:r>
      <w:r>
        <w:t xml:space="preserve"> </w:t>
      </w:r>
      <w:r>
        <w:t xml:space="preserve">because event symbols are not imported;</w:t>
      </w:r>
    </w:p>
    <w:p>
      <w:pPr>
        <w:pStyle w:val="Compact"/>
        <w:numPr>
          <w:ilvl w:val="0"/>
          <w:numId w:val="1006"/>
        </w:numPr>
      </w:pPr>
      <w:r>
        <w:t xml:space="preserve">direct event construction proves</w:t>
      </w:r>
      <w:r>
        <w:t xml:space="preserve"> </w:t>
      </w:r>
      <w:r>
        <w:rPr>
          <w:rStyle w:val="VerbatimChar"/>
        </w:rPr>
        <w:t xml:space="preserve">ConsentGranted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ConsentRevoked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ConsentRenewed</w:t>
      </w:r>
      <w:r>
        <w:t xml:space="preserve"> </w:t>
      </w:r>
      <w:r>
        <w:t xml:space="preserve">require</w:t>
      </w:r>
      <w:r>
        <w:t xml:space="preserve"> </w:t>
      </w:r>
      <w:r>
        <w:rPr>
          <w:rStyle w:val="VerbatimChar"/>
        </w:rPr>
        <w:t xml:space="preserve">actor_id</w:t>
      </w:r>
      <w:r>
        <w:t xml:space="preserve">, while</w:t>
      </w:r>
      <w:r>
        <w:t xml:space="preserve"> </w:t>
      </w:r>
      <w:r>
        <w:rPr>
          <w:rStyle w:val="VerbatimChar"/>
        </w:rPr>
        <w:t xml:space="preserve">ConsentExpired</w:t>
      </w:r>
      <w:r>
        <w:t xml:space="preserve"> </w:t>
      </w:r>
      <w:r>
        <w:t xml:space="preserve">has no actor field;</w:t>
      </w:r>
    </w:p>
    <w:p>
      <w:pPr>
        <w:pStyle w:val="Compact"/>
        <w:numPr>
          <w:ilvl w:val="0"/>
          <w:numId w:val="1006"/>
        </w:numPr>
      </w:pPr>
      <w:r>
        <w:t xml:space="preserve">only one Consent test was found, and it checks constructor keyword-only shape rather than business execution.</w:t>
      </w:r>
    </w:p>
    <w:p>
      <w:pPr>
        <w:pStyle w:val="FirstParagraph"/>
      </w:pPr>
      <w:r>
        <w:t xml:space="preserve">Current Consent disposition:</w:t>
      </w:r>
    </w:p>
    <w:p>
      <w:pPr>
        <w:pStyle w:val="BodyText"/>
      </w:pPr>
      <w:r>
        <w:rPr>
          <w:b/>
          <w:bCs/>
        </w:rPr>
        <w:t xml:space="preserve">UNREACHABLE + NON-EXECUTABLE / NOT A RUNTIME CAPABILITY</w:t>
      </w:r>
    </w:p>
    <w:p>
      <w:pPr>
        <w:pStyle w:val="BodyText"/>
      </w:pPr>
      <w:r>
        <w:t xml:space="preserve">This does not authorize either a runtime repair or a deletion yet. The package must first be included in the repository-wide disposition matrix so that its removal is handled consistently with other confirmed dead surfaces.</w:t>
      </w:r>
    </w:p>
    <w:p>
      <w:pPr>
        <w:pStyle w:val="Heading2"/>
      </w:pPr>
      <w:bookmarkStart w:id="15" w:name="_82eced63600e4235e7c8a047d8a1add18221abf"/>
      <w:r>
        <w:t xml:space="preserve">6. No technical-debt rules</w:t>
      </w:r>
    </w:p>
    <w:p>
      <w:pPr>
        <w:pStyle w:val="FirstParagraph"/>
      </w:pPr>
      <w:r>
        <w:t xml:space="preserve">The following are prohibited under this gate:</w:t>
      </w:r>
    </w:p>
    <w:p>
      <w:pPr>
        <w:pStyle w:val="Compact"/>
        <w:numPr>
          <w:ilvl w:val="0"/>
          <w:numId w:val="1007"/>
        </w:numPr>
      </w:pPr>
      <w:r>
        <w:t xml:space="preserve">fixing broken dormant code merely to make it import;</w:t>
      </w:r>
    </w:p>
    <w:p>
      <w:pPr>
        <w:pStyle w:val="Compact"/>
        <w:numPr>
          <w:ilvl w:val="0"/>
          <w:numId w:val="1007"/>
        </w:numPr>
      </w:pPr>
      <w:r>
        <w:t xml:space="preserve">adding fake actors or default values to satisfy constructors;</w:t>
      </w:r>
    </w:p>
    <w:p>
      <w:pPr>
        <w:pStyle w:val="Compact"/>
        <w:numPr>
          <w:ilvl w:val="0"/>
          <w:numId w:val="1007"/>
        </w:numPr>
      </w:pPr>
      <w:r>
        <w:t xml:space="preserve">adding compatibility adapters without an identified consumer;</w:t>
      </w:r>
    </w:p>
    <w:p>
      <w:pPr>
        <w:pStyle w:val="Compact"/>
        <w:numPr>
          <w:ilvl w:val="0"/>
          <w:numId w:val="1007"/>
        </w:numPr>
      </w:pPr>
      <w:r>
        <w:t xml:space="preserve">adding permanent audit/assurance code that is itself untested;</w:t>
      </w:r>
    </w:p>
    <w:p>
      <w:pPr>
        <w:pStyle w:val="Compact"/>
        <w:numPr>
          <w:ilvl w:val="0"/>
          <w:numId w:val="1007"/>
        </w:numPr>
      </w:pPr>
      <w:r>
        <w:t xml:space="preserve">deleting code from a single surface while leaving a parallel duplicate active elsewhere;</w:t>
      </w:r>
    </w:p>
    <w:p>
      <w:pPr>
        <w:pStyle w:val="Compact"/>
        <w:numPr>
          <w:ilvl w:val="0"/>
          <w:numId w:val="1007"/>
        </w:numPr>
      </w:pPr>
      <w:r>
        <w:t xml:space="preserve">changing identity types solely to make compilation/imports pass;</w:t>
      </w:r>
    </w:p>
    <w:p>
      <w:pPr>
        <w:pStyle w:val="Compact"/>
        <w:numPr>
          <w:ilvl w:val="0"/>
          <w:numId w:val="1007"/>
        </w:numPr>
      </w:pPr>
      <w:r>
        <w:t xml:space="preserve">treating docs, manifests, or historical notes as runtime consumers;</w:t>
      </w:r>
    </w:p>
    <w:p>
      <w:pPr>
        <w:pStyle w:val="Compact"/>
        <w:numPr>
          <w:ilvl w:val="0"/>
          <w:numId w:val="1007"/>
        </w:numPr>
      </w:pPr>
      <w:r>
        <w:t xml:space="preserve">declaring code</w:t>
      </w:r>
      <w:r>
        <w:t xml:space="preserve"> </w:t>
      </w:r>
      <w:r>
        <w:t xml:space="preserve">“canonical”</w:t>
      </w:r>
      <w:r>
        <w:t xml:space="preserve"> </w:t>
      </w:r>
      <w:r>
        <w:t xml:space="preserve">without runtime ownership and execution evidence.</w:t>
      </w:r>
    </w:p>
    <w:p>
      <w:pPr>
        <w:pStyle w:val="Heading2"/>
      </w:pPr>
      <w:bookmarkStart w:id="16" w:name="_9d0cf0d44b2242633d2fb927de73f3449332cbe"/>
      <w:r>
        <w:t xml:space="preserve">7. Deletion rule</w:t>
      </w:r>
    </w:p>
    <w:p>
      <w:pPr>
        <w:pStyle w:val="FirstParagraph"/>
      </w:pPr>
      <w:r>
        <w:t xml:space="preserve">A code surface may be removed 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only after:</w:t>
      </w:r>
    </w:p>
    <w:p>
      <w:pPr>
        <w:pStyle w:val="Compact"/>
        <w:numPr>
          <w:ilvl w:val="0"/>
          <w:numId w:val="1008"/>
        </w:numPr>
      </w:pPr>
      <w:r>
        <w:t xml:space="preserve">production reachability is disproven across static and dynamic mechanisms;</w:t>
      </w:r>
    </w:p>
    <w:p>
      <w:pPr>
        <w:pStyle w:val="Compact"/>
        <w:numPr>
          <w:ilvl w:val="0"/>
          <w:numId w:val="1008"/>
        </w:numPr>
      </w:pPr>
      <w:r>
        <w:t xml:space="preserve">operational/external contracts are reconciled;</w:t>
      </w:r>
    </w:p>
    <w:p>
      <w:pPr>
        <w:pStyle w:val="Compact"/>
        <w:numPr>
          <w:ilvl w:val="0"/>
          <w:numId w:val="1008"/>
        </w:numPr>
      </w:pPr>
      <w:r>
        <w:t xml:space="preserve">tests and fixtures are reconciled;</w:t>
      </w:r>
    </w:p>
    <w:p>
      <w:pPr>
        <w:pStyle w:val="Compact"/>
        <w:numPr>
          <w:ilvl w:val="0"/>
          <w:numId w:val="1008"/>
        </w:numPr>
      </w:pPr>
      <w:r>
        <w:t xml:space="preserve">configuration/manifest/build inclusion is reconciled;</w:t>
      </w:r>
    </w:p>
    <w:p>
      <w:pPr>
        <w:pStyle w:val="Compact"/>
        <w:numPr>
          <w:ilvl w:val="0"/>
          <w:numId w:val="1008"/>
        </w:numPr>
      </w:pPr>
      <w:r>
        <w:t xml:space="preserve">any duplicate/alternate implementation is explicitly classified;</w:t>
      </w:r>
    </w:p>
    <w:p>
      <w:pPr>
        <w:pStyle w:val="Compact"/>
        <w:numPr>
          <w:ilvl w:val="0"/>
          <w:numId w:val="1008"/>
        </w:numPr>
      </w:pPr>
      <w:r>
        <w:t xml:space="preserve">focused regression is green after removal;</w:t>
      </w:r>
    </w:p>
    <w:p>
      <w:pPr>
        <w:pStyle w:val="Compact"/>
        <w:numPr>
          <w:ilvl w:val="0"/>
          <w:numId w:val="1008"/>
        </w:numPr>
      </w:pPr>
      <w:r>
        <w:t xml:space="preserve">full regression is green after removal;</w:t>
      </w:r>
    </w:p>
    <w:p>
      <w:pPr>
        <w:pStyle w:val="Compact"/>
        <w:numPr>
          <w:ilvl w:val="0"/>
          <w:numId w:val="1008"/>
        </w:numPr>
      </w:pPr>
      <w:r>
        <w:t xml:space="preserve">deployment verification is green when the removed surface could affect packaging/runtime.</w:t>
      </w:r>
    </w:p>
    <w:p>
      <w:pPr>
        <w:pStyle w:val="FirstParagraph"/>
      </w:pPr>
      <w:r>
        <w:t xml:space="preserve">Git history remains the historical recovery mechanism. No archive development branch is created merely to hide removed code.</w:t>
      </w:r>
    </w:p>
    <w:p>
      <w:pPr>
        <w:pStyle w:val="Heading2"/>
      </w:pPr>
      <w:bookmarkStart w:id="17" w:name="_686c7e462b95213700938c474d564231e9b8204"/>
      <w:r>
        <w:t xml:space="preserve">8. First audit order</w:t>
      </w:r>
    </w:p>
    <w:p>
      <w:pPr>
        <w:pStyle w:val="FirstParagraph"/>
      </w:pPr>
      <w:r>
        <w:t xml:space="preserve">The repository-wide audit begins with:</w:t>
      </w:r>
    </w:p>
    <w:p>
      <w:pPr>
        <w:pStyle w:val="Compact"/>
        <w:numPr>
          <w:ilvl w:val="0"/>
          <w:numId w:val="1009"/>
        </w:numPr>
      </w:pPr>
      <w:r>
        <w:t xml:space="preserve">canonical application/runtime entry points;</w:t>
      </w:r>
    </w:p>
    <w:p>
      <w:pPr>
        <w:pStyle w:val="Compact"/>
        <w:numPr>
          <w:ilvl w:val="0"/>
          <w:numId w:val="1009"/>
        </w:numPr>
      </w:pPr>
      <w:r>
        <w:t xml:space="preserve">duplicate engine/decision implementations;</w:t>
      </w:r>
    </w:p>
    <w:p>
      <w:pPr>
        <w:pStyle w:val="Compact"/>
        <w:numPr>
          <w:ilvl w:val="0"/>
          <w:numId w:val="1009"/>
        </w:numPr>
      </w:pPr>
      <w:r>
        <w:t xml:space="preserve">legacy</w:t>
      </w:r>
      <w:r>
        <w:t xml:space="preserve"> </w:t>
      </w:r>
      <w:r>
        <w:rPr>
          <w:rStyle w:val="VerbatimChar"/>
        </w:rPr>
        <w:t xml:space="preserve">backend/</w:t>
      </w:r>
      <w:r>
        <w:t xml:space="preserve"> </w:t>
      </w:r>
      <w:r>
        <w:t xml:space="preserve">runtime surfaces;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services/</w:t>
      </w:r>
      <w:r>
        <w:t xml:space="preserve"> </w:t>
      </w:r>
      <w:r>
        <w:t xml:space="preserve">legacy/runtime boundaries;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src/domains/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src/engines/</w:t>
      </w:r>
      <w:r>
        <w:t xml:space="preserve"> </w:t>
      </w:r>
      <w:r>
        <w:t xml:space="preserve">ownership;</w:t>
      </w:r>
    </w:p>
    <w:p>
      <w:pPr>
        <w:pStyle w:val="Compact"/>
        <w:numPr>
          <w:ilvl w:val="0"/>
          <w:numId w:val="1009"/>
        </w:numPr>
      </w:pPr>
      <w:r>
        <w:t xml:space="preserve">screening/provider implementations;</w:t>
      </w:r>
    </w:p>
    <w:p>
      <w:pPr>
        <w:pStyle w:val="Compact"/>
        <w:numPr>
          <w:ilvl w:val="0"/>
          <w:numId w:val="1009"/>
        </w:numPr>
      </w:pPr>
      <w:r>
        <w:t xml:space="preserve">scripts/CLI/operational tooling;</w:t>
      </w:r>
    </w:p>
    <w:p>
      <w:pPr>
        <w:pStyle w:val="Compact"/>
        <w:numPr>
          <w:ilvl w:val="0"/>
          <w:numId w:val="1009"/>
        </w:numPr>
      </w:pPr>
      <w:r>
        <w:t xml:space="preserve">historical/compatibility frontend surface;</w:t>
      </w:r>
    </w:p>
    <w:p>
      <w:pPr>
        <w:pStyle w:val="Compact"/>
        <w:numPr>
          <w:ilvl w:val="0"/>
          <w:numId w:val="1009"/>
        </w:numPr>
      </w:pPr>
      <w:r>
        <w:t xml:space="preserve">migrations and database-adjacent Python;</w:t>
      </w:r>
    </w:p>
    <w:p>
      <w:pPr>
        <w:pStyle w:val="Compact"/>
        <w:numPr>
          <w:ilvl w:val="0"/>
          <w:numId w:val="1009"/>
        </w:numPr>
      </w:pPr>
      <w:r>
        <w:t xml:space="preserve">only then individual domain cleanup such as Consent.</w:t>
      </w:r>
    </w:p>
    <w:p>
      <w:pPr>
        <w:pStyle w:val="Heading2"/>
      </w:pPr>
      <w:bookmarkStart w:id="18" w:name="_1fe676df7221e4d879073c1083e53cb9616eb83"/>
      <w:r>
        <w:t xml:space="preserve">9. Gate outcome</w:t>
      </w:r>
    </w:p>
    <w:p>
      <w:pPr>
        <w:pStyle w:val="FirstParagraph"/>
      </w:pPr>
      <w:r>
        <w:t xml:space="preserve">Until this audit is complete:</w:t>
      </w:r>
    </w:p>
    <w:p>
      <w:pPr>
        <w:pStyle w:val="Compact"/>
        <w:numPr>
          <w:ilvl w:val="0"/>
          <w:numId w:val="1010"/>
        </w:numPr>
      </w:pPr>
      <w:r>
        <w:t xml:space="preserve">no broad deletion;</w:t>
      </w:r>
    </w:p>
    <w:p>
      <w:pPr>
        <w:pStyle w:val="Compact"/>
        <w:numPr>
          <w:ilvl w:val="0"/>
          <w:numId w:val="1010"/>
        </w:numPr>
      </w:pPr>
      <w:r>
        <w:t xml:space="preserve">no Consent actor implementation;</w:t>
      </w:r>
    </w:p>
    <w:p>
      <w:pPr>
        <w:pStyle w:val="Compact"/>
        <w:numPr>
          <w:ilvl w:val="0"/>
          <w:numId w:val="1010"/>
        </w:numPr>
      </w:pPr>
      <w:r>
        <w:t xml:space="preserve">no Consent kernel migration;</w:t>
      </w:r>
    </w:p>
    <w:p>
      <w:pPr>
        <w:pStyle w:val="Compact"/>
        <w:numPr>
          <w:ilvl w:val="0"/>
          <w:numId w:val="1010"/>
        </w:numPr>
      </w:pPr>
      <w:r>
        <w:t xml:space="preserve">no global CustomerId/PartyId rewrite;</w:t>
      </w:r>
    </w:p>
    <w:p>
      <w:pPr>
        <w:pStyle w:val="Compact"/>
        <w:numPr>
          <w:ilvl w:val="0"/>
          <w:numId w:val="1010"/>
        </w:numPr>
      </w:pPr>
      <w:r>
        <w:t xml:space="preserve">no second runtime;</w:t>
      </w:r>
    </w:p>
    <w:p>
      <w:pPr>
        <w:pStyle w:val="Compact"/>
        <w:numPr>
          <w:ilvl w:val="0"/>
          <w:numId w:val="1010"/>
        </w:numPr>
      </w:pPr>
      <w:r>
        <w:t xml:space="preserve">no parallel compatibility implementation.</w:t>
      </w:r>
    </w:p>
    <w:p>
      <w:pPr>
        <w:pStyle w:val="FirstParagraph"/>
      </w:pPr>
      <w:r>
        <w:t xml:space="preserve">The desired end state is not</w:t>
      </w:r>
      <w:r>
        <w:t xml:space="preserve"> </w:t>
      </w:r>
      <w:r>
        <w:t xml:space="preserve">“everything imports.”</w:t>
      </w:r>
    </w:p>
    <w:p>
      <w:pPr>
        <w:pStyle w:val="BodyText"/>
      </w:pPr>
      <w:r>
        <w:t xml:space="preserve">The desired end state is:</w:t>
      </w:r>
    </w:p>
    <w:p>
      <w:pPr>
        <w:pStyle w:val="BlockText"/>
      </w:pPr>
      <w:r>
        <w:rPr>
          <w:b/>
          <w:bCs/>
        </w:rPr>
        <w:t xml:space="preserve">Every production code path 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main</w:t>
      </w:r>
      <w:r>
        <w:rPr>
          <w:b/>
          <w:bCs/>
        </w:rPr>
        <w:t xml:space="preserve"> </w:t>
      </w:r>
      <w:r>
        <w:rPr>
          <w:b/>
          <w:bCs/>
        </w:rPr>
        <w:t xml:space="preserve">has an identifiable authority, consumer, execution proof, security boundary, and reason to exist. Every non-production code path is explicitly classified or removed.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LIVENESS AND PROVENANCE GATE 2026-09-27</dc:title>
  <dc:creator>HISN Platform</dc:creator>
  <cp:keywords>HISN, FCDOS, financial crime, decision operating system</cp:keywords>
  <dcterms:created xsi:type="dcterms:W3CDTF">2026-10-13T12:56:52Z</dcterms:created>
  <dcterms:modified xsi:type="dcterms:W3CDTF">2026-10-13T12:56:52Z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