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f72b593fa30f4e24a1fd984ea31fd5b422aa725"/>
      <w:r>
        <w:t xml:space="preserve">HISN Enterprise — CTO Technical Command Center</w:t>
      </w:r>
    </w:p>
    <w:p>
      <w:pPr>
        <w:pStyle w:val="BlockText"/>
      </w:pPr>
      <w:r>
        <w:rPr>
          <w:b/>
          <w:bCs/>
        </w:rPr>
        <w:t xml:space="preserve">Financial Crime Decision Operating System (FCDOS)</w:t>
      </w:r>
    </w:p>
    <w:p>
      <w:pPr>
        <w:pStyle w:val="BlockText"/>
      </w:pPr>
      <w:r>
        <w:t xml:space="preserve">This document is the technical due-diligence surface for HISN Enterprise. It describes what is materially present in the canonical repository, how the runtime is organized, and where engineering evidence lives.</w:t>
      </w:r>
    </w:p>
    <w:p>
      <w:pPr>
        <w:pStyle w:val="FirstParagraph"/>
      </w:pPr>
      <w:r>
        <w:rPr>
          <w:b/>
          <w:bCs/>
        </w:rPr>
        <w:t xml:space="preserve">Truth rule:</w:t>
      </w:r>
      <w:r>
        <w:t xml:space="preserve"> </w:t>
      </w:r>
      <w:r>
        <w:rPr>
          <w:rStyle w:val="VerbatimChar"/>
        </w:rPr>
        <w:t xml:space="preserve">Implemented</w:t>
      </w:r>
      <w:r>
        <w:t xml:space="preserve"> </w:t>
      </w:r>
      <w:r>
        <w:t xml:space="preserve">means supported by repository code and/or verified tests.</w:t>
      </w:r>
      <w:r>
        <w:t xml:space="preserve"> </w:t>
      </w:r>
      <w:r>
        <w:rPr>
          <w:rStyle w:val="VerbatimChar"/>
        </w:rPr>
        <w:t xml:space="preserve">Foundation</w:t>
      </w:r>
      <w:r>
        <w:t xml:space="preserve"> </w:t>
      </w:r>
      <w:r>
        <w:t xml:space="preserve">means an architectural or service baseline exists but capability depth may still evolve.</w:t>
      </w:r>
      <w:r>
        <w:t xml:space="preserve"> </w:t>
      </w:r>
      <w:r>
        <w:rPr>
          <w:rStyle w:val="VerbatimChar"/>
        </w:rPr>
        <w:t xml:space="preserve">Documented</w:t>
      </w:r>
      <w:r>
        <w:t xml:space="preserve"> </w:t>
      </w:r>
      <w:r>
        <w:t xml:space="preserve">means the design is described but should not be interpreted as full production capability.</w:t>
      </w:r>
      <w:r>
        <w:t xml:space="preserve"> </w:t>
      </w:r>
      <w:r>
        <w:rPr>
          <w:rStyle w:val="VerbatimChar"/>
        </w:rPr>
        <w:t xml:space="preserve">Roadmap</w:t>
      </w:r>
      <w:r>
        <w:t xml:space="preserve"> </w:t>
      </w:r>
      <w:r>
        <w:t xml:space="preserve">means future work. Legacy/heritage implementations are not treated as canonical merely because they exist in Git history.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bf9266b9d541831c3c00ad01bab807b157687a5"/>
      <w:r>
        <w:t xml:space="preserve">01 — Executive Technical Position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Canonical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HISN Enterprise FCDOS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Repository source of truth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Runtime model</w:t>
            </w:r>
          </w:p>
        </w:tc>
        <w:tc>
          <w:tcPr/>
          <w:p>
            <w:pPr>
              <w:pStyle w:val="Compact"/>
            </w:pPr>
            <w:r>
              <w:t xml:space="preserve">Modular monolith with explicit domain boundaries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 entry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main.py</w:t>
            </w:r>
            <w:r>
              <w:t xml:space="preserve"> </w:t>
            </w:r>
            <w:r>
              <w:t xml:space="preserve">→ platform application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</w:t>
            </w:r>
          </w:p>
        </w:tc>
        <w:tc>
          <w:tcPr/>
          <w:p>
            <w:pPr>
              <w:pStyle w:val="Compact"/>
            </w:pPr>
            <w:r>
              <w:t xml:space="preserve">FastAPI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Runtime language</w:t>
            </w:r>
          </w:p>
        </w:tc>
        <w:tc>
          <w:tcPr/>
          <w:p>
            <w:pPr>
              <w:pStyle w:val="Compact"/>
            </w:pPr>
            <w:r>
              <w:t xml:space="preserve">Python 3.12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</w:t>
            </w:r>
          </w:p>
        </w:tc>
        <w:tc>
          <w:tcPr/>
          <w:p>
            <w:pPr>
              <w:pStyle w:val="Compact"/>
            </w:pPr>
            <w:r>
              <w:t xml:space="preserve">PostgreSQL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 orchestration</w:t>
            </w:r>
          </w:p>
        </w:tc>
        <w:tc>
          <w:tcPr/>
          <w:p>
            <w:pPr>
              <w:pStyle w:val="Compact"/>
            </w:pPr>
            <w:r>
              <w:t xml:space="preserve">Docker Compose +</w:t>
            </w:r>
            <w:r>
              <w:t xml:space="preserve"> </w:t>
            </w:r>
            <w:r>
              <w:rPr>
                <w:rStyle w:val="VerbatimChar"/>
              </w:rPr>
              <w:t xml:space="preserve">hisn</w:t>
            </w:r>
            <w:r>
              <w:t xml:space="preserve"> </w:t>
            </w: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verification</w:t>
            </w:r>
          </w:p>
        </w:tc>
        <w:tc>
          <w:tcPr/>
          <w:p>
            <w:pPr>
              <w:pStyle w:val="Compact"/>
            </w:pPr>
            <w:r>
              <w:t xml:space="preserve">165 local tests passing at latest supplied verification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</w:t>
            </w:r>
          </w:p>
        </w:tc>
        <w:tc>
          <w:tcPr/>
          <w:p>
            <w:pPr>
              <w:pStyle w:val="Compact"/>
            </w:pPr>
            <w:r>
              <w:t xml:space="preserve">GitHub 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authority</w:t>
            </w:r>
          </w:p>
        </w:tc>
        <w:tc>
          <w:tcPr/>
          <w:p>
            <w:pPr>
              <w:pStyle w:val="Compact"/>
            </w:pPr>
            <w:r>
              <w:t xml:space="preserve">Policy/rules/governed runtime + human-controlled workflows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AI/ML role</w:t>
            </w:r>
          </w:p>
        </w:tc>
        <w:tc>
          <w:tcPr/>
          <w:p>
            <w:pPr>
              <w:pStyle w:val="Compact"/>
            </w:pPr>
            <w:r>
              <w:t xml:space="preserve">Analytical enrichment; not autonomous regulatory authority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937c2d96442121727b9c87fa73b79ae2cc72ac1"/>
      <w:r>
        <w:t xml:space="preserve">02 — Canonical Runtime</w:t>
      </w:r>
    </w:p>
    <w:p>
      <w:pPr>
        <w:pStyle w:val="FirstParagraph"/>
      </w:pPr>
      <w:r>
        <w:t xml:space="preserve">The canonical execution concept is:</w:t>
      </w:r>
    </w:p>
    <w:p>
      <w:pPr>
        <w:pStyle w:val="SourceCode"/>
      </w:pPr>
      <w:r>
        <w:rPr>
          <w:rStyle w:val="VerbatimChar"/>
        </w:rPr>
        <w:t xml:space="preserve">API Layer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Business Modules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Decision / Intelligence Engines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Core Runtime &amp; Governance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Repositories / PostgreSQL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External Integrations</w:t>
      </w:r>
    </w:p>
    <w:p>
      <w:pPr>
        <w:pStyle w:val="FirstParagraph"/>
      </w:pPr>
      <w:r>
        <w:t xml:space="preserve">The repository contains explicit runtime, decision, contract, audit, container, and infrastructure layers. The canonical path is the engineering target; historical branches and heritage implementations are not separate product runtimes unless explicitly promoted into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p>
      <w:pPr>
        <w:pStyle w:val="BodyText"/>
      </w:pPr>
      <w:r>
        <w:t xml:space="preserve">Key evidence locations include: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src/core/runtime/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src/core/decision/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src/core/contracts/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src/core/container/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src/platform/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src/infrastructure/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main.py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src/main.py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af05ec3aeb6a8320678c3c9754de2eeb612d166"/>
      <w:r>
        <w:t xml:space="preserve">03 — Decision Architecture</w:t>
      </w:r>
    </w:p>
    <w:p>
      <w:pPr>
        <w:pStyle w:val="FirstParagraph"/>
      </w:pPr>
      <w:r>
        <w:t xml:space="preserve">HISN is designed around an evidence-backed decision record rather than a raw screening result:</w:t>
      </w:r>
    </w:p>
    <w:p>
      <w:pPr>
        <w:pStyle w:val="SourceCode"/>
      </w:pPr>
      <w:r>
        <w:rPr>
          <w:rStyle w:val="VerbatimChar"/>
        </w:rPr>
        <w:t xml:space="preserve">Subject / Transaction</w:t>
      </w:r>
      <w:r>
        <w:br/>
      </w:r>
      <w:r>
        <w:rPr>
          <w:rStyle w:val="VerbatimChar"/>
        </w:rPr>
        <w:t xml:space="preserve">        +</w:t>
      </w:r>
      <w:r>
        <w:br/>
      </w:r>
      <w:r>
        <w:rPr>
          <w:rStyle w:val="VerbatimChar"/>
        </w:rPr>
        <w:t xml:space="preserve">Signals</w:t>
      </w:r>
      <w:r>
        <w:br/>
      </w:r>
      <w:r>
        <w:rPr>
          <w:rStyle w:val="VerbatimChar"/>
        </w:rPr>
        <w:t xml:space="preserve">        +</w:t>
      </w:r>
      <w:r>
        <w:br/>
      </w:r>
      <w:r>
        <w:rPr>
          <w:rStyle w:val="VerbatimChar"/>
        </w:rPr>
        <w:t xml:space="preserve">Evidence</w:t>
      </w:r>
      <w:r>
        <w:br/>
      </w:r>
      <w:r>
        <w:rPr>
          <w:rStyle w:val="VerbatimChar"/>
        </w:rPr>
        <w:t xml:space="preserve">        +</w:t>
      </w:r>
      <w:r>
        <w:br/>
      </w:r>
      <w:r>
        <w:rPr>
          <w:rStyle w:val="VerbatimChar"/>
        </w:rPr>
        <w:t xml:space="preserve">Context</w:t>
      </w:r>
      <w:r>
        <w:br/>
      </w:r>
      <w:r>
        <w:rPr>
          <w:rStyle w:val="VerbatimChar"/>
        </w:rPr>
        <w:t xml:space="preserve">        +</w:t>
      </w:r>
      <w:r>
        <w:br/>
      </w:r>
      <w:r>
        <w:rPr>
          <w:rStyle w:val="VerbatimChar"/>
        </w:rPr>
        <w:t xml:space="preserve">Policies</w:t>
      </w:r>
      <w:r>
        <w:br/>
      </w:r>
      <w:r>
        <w:rPr>
          <w:rStyle w:val="VerbatimChar"/>
        </w:rPr>
        <w:t xml:space="preserve">        +</w:t>
      </w:r>
      <w:r>
        <w:br/>
      </w:r>
      <w:r>
        <w:rPr>
          <w:rStyle w:val="VerbatimChar"/>
        </w:rPr>
        <w:t xml:space="preserve">Rules</w:t>
      </w:r>
      <w:r>
        <w:br/>
      </w:r>
      <w:r>
        <w:rPr>
          <w:rStyle w:val="VerbatimChar"/>
        </w:rPr>
        <w:t xml:space="preserve">        +</w:t>
      </w:r>
      <w:r>
        <w:br/>
      </w:r>
      <w:r>
        <w:rPr>
          <w:rStyle w:val="VerbatimChar"/>
        </w:rPr>
        <w:t xml:space="preserve">Engine Results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     Decision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Rationale / Action / Review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Case / Audit / SAR</w:t>
      </w:r>
    </w:p>
    <w:p>
      <w:pPr>
        <w:pStyle w:val="FirstParagraph"/>
      </w:pPr>
      <w:r>
        <w:t xml:space="preserve">The architectural principle is explicit:</w:t>
      </w:r>
    </w:p>
    <w:p>
      <w:pPr>
        <w:pStyle w:val="BlockText"/>
      </w:pPr>
      <w:r>
        <w:rPr>
          <w:b/>
          <w:bCs/>
        </w:rPr>
        <w:t xml:space="preserve">AI and ML may enrich intelligence; governed policies, evidence, rules, controls and human-controlled workflows remain responsible for regulated decisions.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4be424e08265b3b5d5947cdaa452b0f1901cdae"/>
      <w:r>
        <w:t xml:space="preserve">04 — Capability Baseline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Current truth 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 / KYB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</w:t>
            </w:r>
          </w:p>
        </w:tc>
        <w:tc>
          <w:tcPr/>
          <w:p>
            <w:pPr>
              <w:pStyle w:val="Compact"/>
            </w:pPr>
            <w:r>
              <w:t xml:space="preserve">Foundation + rules/intelligence components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Foundation + behavioral/rule signals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Sanctions</w:t>
            </w:r>
          </w:p>
        </w:tc>
        <w:tc>
          <w:tcPr/>
          <w:p>
            <w:pPr>
              <w:pStyle w:val="Compact"/>
            </w:pPr>
            <w:r>
              <w:t xml:space="preserve">Service/plugin foundation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</w:t>
            </w:r>
          </w:p>
        </w:tc>
        <w:tc>
          <w:tcPr/>
          <w:p>
            <w:pPr>
              <w:pStyle w:val="Compact"/>
            </w:pPr>
            <w:r>
              <w:t xml:space="preserve">Scheduled/event-driven foundation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Case Management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Engine</w:t>
            </w:r>
          </w:p>
        </w:tc>
        <w:tc>
          <w:tcPr/>
          <w:p>
            <w:pPr>
              <w:pStyle w:val="Compact"/>
            </w:pPr>
            <w:r>
              <w:t xml:space="preserve">Canonical contract/traceability foundation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Trail</w:t>
            </w:r>
          </w:p>
        </w:tc>
        <w:tc>
          <w:tcPr/>
          <w:p>
            <w:pPr>
              <w:pStyle w:val="Compact"/>
            </w:pPr>
            <w:r>
              <w:t xml:space="preserve">Implemented foundation with integrity controls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Runtime</w:t>
            </w:r>
          </w:p>
        </w:tc>
        <w:tc>
          <w:tcPr/>
          <w:p>
            <w:pPr>
              <w:pStyle w:val="Compact"/>
            </w:pPr>
            <w:r>
              <w:t xml:space="preserve">Canonical runtime foundation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DNA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Orchestration</w:t>
            </w:r>
          </w:p>
        </w:tc>
        <w:tc>
          <w:tcPr/>
          <w:p>
            <w:pPr>
              <w:pStyle w:val="Compact"/>
            </w:pPr>
            <w:r>
              <w:t xml:space="preserve">Foundation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SAR / STR</w:t>
            </w:r>
          </w:p>
        </w:tc>
        <w:tc>
          <w:tcPr/>
          <w:p>
            <w:pPr>
              <w:pStyle w:val="Compact"/>
            </w:pPr>
            <w:r>
              <w:t xml:space="preserve">Workflow/API foundation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Executive Intelligence</w:t>
            </w:r>
          </w:p>
        </w:tc>
        <w:tc>
          <w:tcPr/>
          <w:p>
            <w:pPr>
              <w:pStyle w:val="Compact"/>
            </w:pPr>
            <w:r>
              <w:t xml:space="preserve">KPI/visibility foundation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“Foundation” is deliberately not equivalent to “fully production-complete enterprise capability.” Depth, integrations, regulatory certification, operational controls and deployment hardening remain environment-specific.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e1d3b7da61a4a57c5afe6f887c10dfa805a68e3"/>
      <w:r>
        <w:t xml:space="preserve">05 — AML / Intelligence Stack</w:t>
      </w:r>
    </w:p>
    <w:p>
      <w:pPr>
        <w:pStyle w:val="FirstParagraph"/>
      </w:pPr>
      <w:r>
        <w:t xml:space="preserve">HISN does not depend exclusively on deterministic rules. The canonical repository also contains an anomaly-detection foundation.</w:t>
      </w:r>
    </w:p>
    <w:p>
      <w:pPr>
        <w:pStyle w:val="Heading3"/>
      </w:pPr>
      <w:bookmarkStart w:id="15" w:name="_6baf4dd82571d244b886bffb6531ed52eb5fe35"/>
      <w:r>
        <w:t xml:space="preserve">Deterministic intelligence</w:t>
      </w:r>
    </w:p>
    <w:p>
      <w:pPr>
        <w:pStyle w:val="Compact"/>
        <w:numPr>
          <w:ilvl w:val="0"/>
          <w:numId w:val="1002"/>
        </w:numPr>
      </w:pPr>
      <w:r>
        <w:t xml:space="preserve">transaction/risk rules;</w:t>
      </w:r>
    </w:p>
    <w:p>
      <w:pPr>
        <w:pStyle w:val="Compact"/>
        <w:numPr>
          <w:ilvl w:val="0"/>
          <w:numId w:val="1002"/>
        </w:numPr>
      </w:pPr>
      <w:r>
        <w:t xml:space="preserve">velocity and behavioral signals;</w:t>
      </w:r>
    </w:p>
    <w:p>
      <w:pPr>
        <w:pStyle w:val="Compact"/>
        <w:numPr>
          <w:ilvl w:val="0"/>
          <w:numId w:val="1002"/>
        </w:numPr>
      </w:pPr>
      <w:r>
        <w:t xml:space="preserve">high-risk country/entity indicators;</w:t>
      </w:r>
    </w:p>
    <w:p>
      <w:pPr>
        <w:pStyle w:val="Compact"/>
        <w:numPr>
          <w:ilvl w:val="0"/>
          <w:numId w:val="1002"/>
        </w:numPr>
      </w:pPr>
      <w:r>
        <w:t xml:space="preserve">amount/activity anomalies;</w:t>
      </w:r>
    </w:p>
    <w:p>
      <w:pPr>
        <w:pStyle w:val="Compact"/>
        <w:numPr>
          <w:ilvl w:val="0"/>
          <w:numId w:val="1002"/>
        </w:numPr>
      </w:pPr>
      <w:r>
        <w:t xml:space="preserve">failed-attempt and contextual signals;</w:t>
      </w:r>
    </w:p>
    <w:p>
      <w:pPr>
        <w:pStyle w:val="Compact"/>
        <w:numPr>
          <w:ilvl w:val="0"/>
          <w:numId w:val="1002"/>
        </w:numPr>
      </w:pPr>
      <w:r>
        <w:t xml:space="preserve">risk scoring and escalation paths.</w:t>
      </w:r>
    </w:p>
    <w:p>
      <w:pPr>
        <w:pStyle w:val="Heading3"/>
      </w:pPr>
      <w:bookmarkStart w:id="16" w:name="_6789bf27b8b2ad17330c3aba60c486ecb2c5827"/>
      <w:r>
        <w:t xml:space="preserve">ML / anomaly foundation</w:t>
      </w:r>
    </w:p>
    <w:p>
      <w:pPr>
        <w:pStyle w:val="FirstParagraph"/>
      </w:pPr>
      <w:r>
        <w:t xml:space="preserve">The repository currently contains AML-oriented Isolation Forest and anomaly infrastructure, including:</w:t>
      </w:r>
    </w:p>
    <w:p>
      <w:pPr>
        <w:pStyle w:val="SourceCode"/>
      </w:pPr>
      <w:r>
        <w:rPr>
          <w:rStyle w:val="VerbatimChar"/>
        </w:rPr>
        <w:t xml:space="preserve">src/engines/aml/engines/ml/isolation_forest.py</w:t>
      </w:r>
      <w:r>
        <w:br/>
      </w:r>
      <w:r>
        <w:rPr>
          <w:rStyle w:val="VerbatimChar"/>
        </w:rPr>
        <w:t xml:space="preserve">services/aml/model_trainer.py</w:t>
      </w:r>
      <w:r>
        <w:br/>
      </w:r>
      <w:r>
        <w:rPr>
          <w:rStyle w:val="VerbatimChar"/>
        </w:rPr>
        <w:t xml:space="preserve">services/aml/plugins/ml_anomaly.py</w:t>
      </w:r>
    </w:p>
    <w:p>
      <w:pPr>
        <w:pStyle w:val="FirstParagraph"/>
      </w:pPr>
      <w:r>
        <w:t xml:space="preserve">These are</w:t>
      </w:r>
      <w:r>
        <w:t xml:space="preserve"> </w:t>
      </w:r>
      <w:r>
        <w:rPr>
          <w:b/>
          <w:bCs/>
        </w:rPr>
        <w:t xml:space="preserve">analytical signals</w:t>
      </w:r>
      <w:r>
        <w:t xml:space="preserve">, not autonomous compliance authorities.</w:t>
      </w:r>
    </w:p>
    <w:p>
      <w:pPr>
        <w:pStyle w:val="Heading3"/>
      </w:pPr>
      <w:bookmarkStart w:id="17" w:name="_08e79741fa13a4b693c82f828bffe6dbcd62e9f"/>
      <w:r>
        <w:t xml:space="preserve">Evolution path</w:t>
      </w:r>
    </w:p>
    <w:p>
      <w:pPr>
        <w:pStyle w:val="FirstParagraph"/>
      </w:pPr>
      <w:r>
        <w:t xml:space="preserve">Trajectory modeling, graph intelligence, behavioral models, autoencoders and explainability can be added behind the governed architecture. They should not become parallel decision authorities.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8" w:name="_935e906e5edd7ed13f4cda9e2ada38637d36e84"/>
      <w:r>
        <w:t xml:space="preserve">06 — Evidence &amp; Audit</w:t>
      </w:r>
    </w:p>
    <w:p>
      <w:pPr>
        <w:pStyle w:val="FirstParagraph"/>
      </w:pPr>
      <w:r>
        <w:t xml:space="preserve">Evidence and audit are architectural components, not presentation features.</w:t>
      </w:r>
    </w:p>
    <w:p>
      <w:pPr>
        <w:pStyle w:val="BodyText"/>
      </w:pPr>
      <w:r>
        <w:t xml:space="preserve">Relevant canonical areas include:</w:t>
      </w:r>
    </w:p>
    <w:p>
      <w:pPr>
        <w:pStyle w:val="SourceCode"/>
      </w:pPr>
      <w:r>
        <w:rPr>
          <w:rStyle w:val="VerbatimChar"/>
        </w:rPr>
        <w:t xml:space="preserve">src/core/audit/</w:t>
      </w:r>
      <w:r>
        <w:br/>
      </w:r>
      <w:r>
        <w:rPr>
          <w:rStyle w:val="VerbatimChar"/>
        </w:rPr>
        <w:t xml:space="preserve">src/platform/audit/</w:t>
      </w:r>
      <w:r>
        <w:br/>
      </w:r>
      <w:r>
        <w:rPr>
          <w:rStyle w:val="VerbatimChar"/>
        </w:rPr>
        <w:t xml:space="preserve">src/core/contracts/evidence.py</w:t>
      </w:r>
      <w:r>
        <w:br/>
      </w:r>
      <w:r>
        <w:rPr>
          <w:rStyle w:val="VerbatimChar"/>
        </w:rPr>
        <w:t xml:space="preserve">src/core/audit/hash_util.py</w:t>
      </w:r>
      <w:r>
        <w:br/>
      </w:r>
      <w:r>
        <w:rPr>
          <w:rStyle w:val="VerbatimChar"/>
        </w:rPr>
        <w:t xml:space="preserve">src/shared/events/outbox.py</w:t>
      </w:r>
    </w:p>
    <w:p>
      <w:pPr>
        <w:pStyle w:val="FirstParagraph"/>
      </w:pPr>
      <w:r>
        <w:t xml:space="preserve">The audit model supports persistent history and integrity-oriented controls. Evidence contracts provide a canonical vocabulary for traceability across decisions and investigations.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1fe8ef279c0803a71d8db0e068ddd95254da2cc"/>
      <w:r>
        <w:t xml:space="preserve">07 — Security Architecture</w:t>
      </w:r>
    </w:p>
    <w:p>
      <w:pPr>
        <w:pStyle w:val="SourceCode"/>
      </w:pPr>
      <w:r>
        <w:rPr>
          <w:rStyle w:val="VerbatimChar"/>
        </w:rPr>
        <w:t xml:space="preserve">Identity &amp; Access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Authentication / JWT / RBAC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API Validation &amp; Permission Boundaries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Decision Governance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Evidence + PostgreSQL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Audit / Integrity Controls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CI/CD + Dependency + Environment Controls</w:t>
      </w:r>
    </w:p>
    <w:p>
      <w:pPr>
        <w:pStyle w:val="FirstParagraph"/>
      </w:pPr>
      <w:r>
        <w:t xml:space="preserve">Security posture is documented separately in</w:t>
      </w:r>
      <w:r>
        <w:t xml:space="preserve"> </w:t>
      </w:r>
      <w:r>
        <w:rPr>
          <w:rStyle w:val="VerbatimChar"/>
        </w:rPr>
        <w:t xml:space="preserve">SECURITY.md</w:t>
      </w:r>
      <w:r>
        <w:t xml:space="preserve">.</w:t>
      </w:r>
    </w:p>
    <w:p>
      <w:pPr>
        <w:pStyle w:val="BodyText"/>
      </w:pPr>
      <w:r>
        <w:t xml:space="preserve">The repository also follows an environment-managed secret model. CI database credentials are supplied by the workflow runtime rather than being treated as source-code constants.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09c9518bffcbfe8a78f254c56bcaf61fcdcccc3"/>
      <w:r>
        <w:t xml:space="preserve">08 — Data &amp; Persistence</w:t>
      </w:r>
    </w:p>
    <w:p>
      <w:pPr>
        <w:pStyle w:val="FirstParagraph"/>
      </w:pPr>
      <w:r>
        <w:t xml:space="preserve">PostgreSQL is the canonical persistence layer for the current platform baseline.</w:t>
      </w:r>
    </w:p>
    <w:p>
      <w:pPr>
        <w:pStyle w:val="BodyText"/>
      </w:pPr>
      <w:r>
        <w:t xml:space="preserve">Database architecture is organized under:</w:t>
      </w:r>
    </w:p>
    <w:p>
      <w:pPr>
        <w:pStyle w:val="SourceCode"/>
      </w:pPr>
      <w:r>
        <w:rPr>
          <w:rStyle w:val="VerbatimChar"/>
        </w:rPr>
        <w:t xml:space="preserve">database/schema/</w:t>
      </w:r>
      <w:r>
        <w:br/>
      </w:r>
      <w:r>
        <w:rPr>
          <w:rStyle w:val="VerbatimChar"/>
        </w:rPr>
        <w:t xml:space="preserve">database/migrate.py</w:t>
      </w:r>
      <w:r>
        <w:br/>
      </w:r>
      <w:r>
        <w:rPr>
          <w:rStyle w:val="VerbatimChar"/>
        </w:rPr>
        <w:t xml:space="preserve">src/infrastructure/database.py</w:t>
      </w:r>
    </w:p>
    <w:p>
      <w:pPr>
        <w:pStyle w:val="FirstParagraph"/>
      </w:pPr>
      <w:r>
        <w:t xml:space="preserve">Local development uses Docker Compose. The developer</w:t>
      </w:r>
      <w:r>
        <w:t xml:space="preserve"> </w:t>
      </w:r>
      <w:r>
        <w:rPr>
          <w:rStyle w:val="VerbatimChar"/>
        </w:rPr>
        <w:t xml:space="preserve">hisn</w:t>
      </w:r>
      <w:r>
        <w:t xml:space="preserve"> </w:t>
      </w:r>
      <w:r>
        <w:t xml:space="preserve">command starts the Compose environment and waits for PostgreSQL readiness before presenting the environment as ready.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41d5072273cff5c81cfb483bb395f8250aaa23f"/>
      <w:r>
        <w:t xml:space="preserve">09 — API &amp; Integration Surface</w:t>
      </w:r>
    </w:p>
    <w:p>
      <w:pPr>
        <w:pStyle w:val="FirstParagraph"/>
      </w:pPr>
      <w:r>
        <w:t xml:space="preserve">The application is exposed through FastAPI and its OpenAPI/Swagger contract.</w:t>
      </w:r>
    </w:p>
    <w:p>
      <w:pPr>
        <w:pStyle w:val="BodyText"/>
      </w:pPr>
      <w:r>
        <w:t xml:space="preserve">Current API capability areas include:</w:t>
      </w:r>
    </w:p>
    <w:p>
      <w:pPr>
        <w:pStyle w:val="SourceCode"/>
      </w:pPr>
      <w:r>
        <w:rPr>
          <w:rStyle w:val="VerbatimChar"/>
        </w:rPr>
        <w:t xml:space="preserve">Authentication</w:t>
      </w:r>
      <w:r>
        <w:br/>
      </w:r>
      <w:r>
        <w:rPr>
          <w:rStyle w:val="VerbatimChar"/>
        </w:rPr>
        <w:t xml:space="preserve">KYC / KYB</w:t>
      </w:r>
      <w:r>
        <w:br/>
      </w:r>
      <w:r>
        <w:rPr>
          <w:rStyle w:val="VerbatimChar"/>
        </w:rPr>
        <w:t xml:space="preserve">AML</w:t>
      </w:r>
      <w:r>
        <w:br/>
      </w:r>
      <w:r>
        <w:rPr>
          <w:rStyle w:val="VerbatimChar"/>
        </w:rPr>
        <w:t xml:space="preserve">Fraud</w:t>
      </w:r>
      <w:r>
        <w:br/>
      </w:r>
      <w:r>
        <w:rPr>
          <w:rStyle w:val="VerbatimChar"/>
        </w:rPr>
        <w:t xml:space="preserve">Sanctions</w:t>
      </w:r>
      <w:r>
        <w:br/>
      </w:r>
      <w:r>
        <w:rPr>
          <w:rStyle w:val="VerbatimChar"/>
        </w:rPr>
        <w:t xml:space="preserve">Screening</w:t>
      </w:r>
      <w:r>
        <w:br/>
      </w:r>
      <w:r>
        <w:rPr>
          <w:rStyle w:val="VerbatimChar"/>
        </w:rPr>
        <w:t xml:space="preserve">Decision / Evaluation</w:t>
      </w:r>
      <w:r>
        <w:br/>
      </w:r>
      <w:r>
        <w:rPr>
          <w:rStyle w:val="VerbatimChar"/>
        </w:rPr>
        <w:t xml:space="preserve">Case Management</w:t>
      </w:r>
      <w:r>
        <w:br/>
      </w:r>
      <w:r>
        <w:rPr>
          <w:rStyle w:val="VerbatimChar"/>
        </w:rPr>
        <w:t xml:space="preserve">Audit</w:t>
      </w:r>
      <w:r>
        <w:br/>
      </w:r>
      <w:r>
        <w:rPr>
          <w:rStyle w:val="VerbatimChar"/>
        </w:rPr>
        <w:t xml:space="preserve">SAR / STR</w:t>
      </w:r>
      <w:r>
        <w:br/>
      </w:r>
      <w:r>
        <w:rPr>
          <w:rStyle w:val="VerbatimChar"/>
        </w:rPr>
        <w:t xml:space="preserve">Executive / KPI</w:t>
      </w:r>
      <w:r>
        <w:br/>
      </w:r>
      <w:r>
        <w:rPr>
          <w:rStyle w:val="VerbatimChar"/>
        </w:rPr>
        <w:t xml:space="preserve">Health</w:t>
      </w:r>
    </w:p>
    <w:p>
      <w:pPr>
        <w:pStyle w:val="FirstParagraph"/>
      </w:pPr>
      <w:r>
        <w:t xml:space="preserve">External adapters are isolated from the core decision model. The repository includes an adapter layer for system-specific integrations.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2e266b1e90f6972fe33b7fd4386b1e91cf86613"/>
      <w:r>
        <w:t xml:space="preserve">10 — Engineering Quality Gate</w:t>
      </w:r>
    </w:p>
    <w:p>
      <w:pPr>
        <w:pStyle w:val="FirstParagraph"/>
      </w:pPr>
      <w:r>
        <w:t xml:space="preserve">The engineering baseline is test-driven at the repository level.</w:t>
      </w:r>
    </w:p>
    <w:p>
      <w:pPr>
        <w:pStyle w:val="BodyText"/>
      </w:pPr>
      <w:r>
        <w:t xml:space="preserve">Latest local verification supplied by the development environment:</w:t>
      </w:r>
    </w:p>
    <w:p>
      <w:pPr>
        <w:pStyle w:val="SourceCode"/>
      </w:pPr>
      <w:r>
        <w:rPr>
          <w:rStyle w:val="VerbatimChar"/>
        </w:rPr>
        <w:t xml:space="preserve">165 passed</w:t>
      </w:r>
    </w:p>
    <w:p>
      <w:pPr>
        <w:pStyle w:val="FirstParagraph"/>
      </w:pPr>
      <w:r>
        <w:t xml:space="preserve">The distinction between local and CI environments matters. A local test run must use the local database endpoint; a Docker-network test run may use the Compose service hostname.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is a Docker-internal hostname and is not expected to resolve from the host macOS shell.</w:t>
      </w:r>
    </w:p>
    <w:p>
      <w:pPr>
        <w:pStyle w:val="BodyText"/>
      </w:pPr>
      <w:r>
        <w:t xml:space="preserve">Therefore:</w:t>
      </w:r>
    </w:p>
    <w:p>
      <w:pPr>
        <w:pStyle w:val="SourceCode"/>
      </w:pPr>
      <w:r>
        <w:rPr>
          <w:rStyle w:val="VerbatimChar"/>
        </w:rPr>
        <w:t xml:space="preserve">Host pytest      → localhost:5432</w:t>
      </w:r>
      <w:r>
        <w:br/>
      </w:r>
      <w:r>
        <w:rPr>
          <w:rStyle w:val="VerbatimChar"/>
        </w:rPr>
        <w:t xml:space="preserve">Docker pytest    → db:5432</w:t>
      </w:r>
    </w:p>
    <w:p>
      <w:pPr>
        <w:pStyle w:val="FirstParagraph"/>
      </w:pPr>
      <w:r>
        <w:t xml:space="preserve">This is an environment boundary, not a second database architecture.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12e4189897bf7bfa4be9a0403fa39d1f639b268"/>
      <w:r>
        <w:t xml:space="preserve">11 — Developer Entry Point</w:t>
      </w:r>
    </w:p>
    <w:p>
      <w:pPr>
        <w:pStyle w:val="FirstParagraph"/>
      </w:pPr>
      <w:r>
        <w:t xml:space="preserve">The intended local workflow is:</w:t>
      </w:r>
    </w:p>
    <w:p>
      <w:pPr>
        <w:pStyle w:val="SourceCode"/>
      </w:pPr>
      <w:r>
        <w:rPr>
          <w:rStyle w:val="ExtensionTok"/>
        </w:rPr>
        <w:t xml:space="preserve">hisn</w:t>
      </w:r>
    </w:p>
    <w:p>
      <w:pPr>
        <w:pStyle w:val="FirstParagraph"/>
      </w:pPr>
      <w:r>
        <w:t xml:space="preserve">The command:</w:t>
      </w:r>
    </w:p>
    <w:p>
      <w:pPr>
        <w:pStyle w:val="Compact"/>
        <w:numPr>
          <w:ilvl w:val="0"/>
          <w:numId w:val="1003"/>
        </w:numPr>
      </w:pPr>
      <w:r>
        <w:t xml:space="preserve">enters the canonical local repository;</w:t>
      </w:r>
    </w:p>
    <w:p>
      <w:pPr>
        <w:pStyle w:val="Compact"/>
        <w:numPr>
          <w:ilvl w:val="0"/>
          <w:numId w:val="1003"/>
        </w:numPr>
      </w:pPr>
      <w:r>
        <w:t xml:space="preserve">activates the project virtual environment;</w:t>
      </w:r>
    </w:p>
    <w:p>
      <w:pPr>
        <w:pStyle w:val="Compact"/>
        <w:numPr>
          <w:ilvl w:val="0"/>
          <w:numId w:val="1003"/>
        </w:numPr>
      </w:pPr>
      <w:r>
        <w:t xml:space="preserve">starts Docker Compose services;</w:t>
      </w:r>
    </w:p>
    <w:p>
      <w:pPr>
        <w:pStyle w:val="Compact"/>
        <w:numPr>
          <w:ilvl w:val="0"/>
          <w:numId w:val="1003"/>
        </w:numPr>
      </w:pPr>
      <w:r>
        <w:t xml:space="preserve">waits for PostgreSQL readiness;</w:t>
      </w:r>
    </w:p>
    <w:p>
      <w:pPr>
        <w:pStyle w:val="Compact"/>
        <w:numPr>
          <w:ilvl w:val="0"/>
          <w:numId w:val="1003"/>
        </w:numPr>
      </w:pPr>
      <w:r>
        <w:t xml:space="preserve">leaves the developer at a ready local environment.</w:t>
      </w:r>
    </w:p>
    <w:p>
      <w:pPr>
        <w:pStyle w:val="FirstParagraph"/>
      </w:pPr>
      <w:r>
        <w:t xml:space="preserve">Expected local endpoints:</w:t>
      </w:r>
    </w:p>
    <w:p>
      <w:pPr>
        <w:pStyle w:val="SourceCode"/>
      </w:pPr>
      <w:r>
        <w:rPr>
          <w:rStyle w:val="VerbatimChar"/>
        </w:rPr>
        <w:t xml:space="preserve">API      http://127.0.0.1:8000</w:t>
      </w:r>
      <w:r>
        <w:br/>
      </w:r>
      <w:r>
        <w:rPr>
          <w:rStyle w:val="VerbatimChar"/>
        </w:rPr>
        <w:t xml:space="preserve">Swagger  http://127.0.0.1:8000/docs</w:t>
      </w:r>
      <w:r>
        <w:br/>
      </w:r>
      <w:r>
        <w:rPr>
          <w:rStyle w:val="VerbatimChar"/>
        </w:rPr>
        <w:t xml:space="preserve">Postgres localhost:5432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1a1e37bc56d04ff37841824496125a1ca76f03c"/>
      <w:r>
        <w:t xml:space="preserve">12 — Repository Truth Model</w:t>
      </w:r>
    </w:p>
    <w:p>
      <w:pPr>
        <w:pStyle w:val="FirstParagraph"/>
      </w:pPr>
      <w:r>
        <w:t xml:space="preserve">HISN uses the following classification during architecture reconciliation:</w:t>
      </w:r>
    </w:p>
    <w:p>
      <w:pPr>
        <w:pStyle w:val="SourceCode"/>
      </w:pPr>
      <w:r>
        <w:rPr>
          <w:rStyle w:val="VerbatimChar"/>
        </w:rPr>
        <w:t xml:space="preserve">CANONICAL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Code currently reachable from the canonical runtime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FOUNDATION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Implemented supporting capability not yet equivalent to full enterprise depth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DOCUMENTED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Architecture/specification without equivalent implementation depth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ROADMAP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Future capability</w:t>
      </w:r>
      <w:r>
        <w:br/>
      </w:r>
      <w:r>
        <w:br/>
      </w:r>
      <w:r>
        <w:rPr>
          <w:rStyle w:val="VerbatimChar"/>
        </w:rPr>
        <w:t xml:space="preserve">LEGACY / HERITAGE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Historical implementation retained for forensic/reference purposes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Not canonical unless deliberately promoted into main</w:t>
      </w:r>
    </w:p>
    <w:p>
      <w:pPr>
        <w:pStyle w:val="FirstParagraph"/>
      </w:pPr>
      <w:r>
        <w:t xml:space="preserve">This prevents an old branch, prototype, abandoned service, or historical AI experiment from being accidentally represented as current product capability.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fcd515b0db6a089921455a24187bccc4a3e3646"/>
      <w:r>
        <w:t xml:space="preserve">13 — Architecture Evidence Map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Concern</w:t>
            </w:r>
          </w:p>
        </w:tc>
        <w:tc>
          <w:tcPr/>
          <w:p>
            <w:pPr>
              <w:pStyle w:val="Compact"/>
            </w:pPr>
            <w:r>
              <w:t xml:space="preserve">Evidence location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 entry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main.py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src/main.py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src/core/runtime/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src/core/decision/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src/core/contracts/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Dependency/container wiring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src/core/container/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src/core/audit/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src/platform/audit/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database/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src/infrastructure/database.py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 intelligence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src/engines/aml/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services/aml/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adapters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adapters/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src/api/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Frontend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frontend/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 ownership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IP_NOTICE.md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Architecture docs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docs/architecture/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docs/ARCHITECTURE.md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Knowledge 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docs/knowledge-base/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CI/CD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.github/workflows/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b6b48c3df3f801933236a056cac8c41056c5786"/>
      <w:r>
        <w:t xml:space="preserve">14 — CTO Review Checklist</w:t>
      </w:r>
    </w:p>
    <w:p>
      <w:pPr>
        <w:pStyle w:val="FirstParagraph"/>
      </w:pPr>
      <w:r>
        <w:t xml:space="preserve">A technical reviewer should be able to answer “yes” to the following before treating a deployment as production-ready:</w:t>
      </w:r>
    </w:p>
    <w:p>
      <w:pPr>
        <w:pStyle w:val="Compact"/>
        <w:numPr>
          <w:ilvl w:val="0"/>
          <w:numId w:val="1004"/>
        </w:numPr>
      </w:pPr>
      <w:r>
        <w:t xml:space="preserve">Canonical branch and commit are identified.</w:t>
      </w:r>
    </w:p>
    <w:p>
      <w:pPr>
        <w:pStyle w:val="Compact"/>
        <w:numPr>
          <w:ilvl w:val="0"/>
          <w:numId w:val="1005"/>
        </w:numPr>
      </w:pPr>
      <w:r>
        <w:t xml:space="preserve">Runtime entry point is known.</w:t>
      </w:r>
    </w:p>
    <w:p>
      <w:pPr>
        <w:pStyle w:val="Compact"/>
        <w:numPr>
          <w:ilvl w:val="0"/>
          <w:numId w:val="1006"/>
        </w:numPr>
      </w:pPr>
      <w:r>
        <w:t xml:space="preserve">Database migration state is known.</w:t>
      </w:r>
    </w:p>
    <w:p>
      <w:pPr>
        <w:pStyle w:val="Compact"/>
        <w:numPr>
          <w:ilvl w:val="0"/>
          <w:numId w:val="1007"/>
        </w:numPr>
      </w:pPr>
      <w:r>
        <w:t xml:space="preserve">Environment secrets are externally managed.</w:t>
      </w:r>
    </w:p>
    <w:p>
      <w:pPr>
        <w:pStyle w:val="Compact"/>
        <w:numPr>
          <w:ilvl w:val="0"/>
          <w:numId w:val="1008"/>
        </w:numPr>
      </w:pPr>
      <w:r>
        <w:t xml:space="preserve">Authentication and authorization are configured for the target deployment.</w:t>
      </w:r>
    </w:p>
    <w:p>
      <w:pPr>
        <w:pStyle w:val="Compact"/>
        <w:numPr>
          <w:ilvl w:val="0"/>
          <w:numId w:val="1009"/>
        </w:numPr>
      </w:pPr>
      <w:r>
        <w:t xml:space="preserve">Audit and evidence retention requirements are configured.</w:t>
      </w:r>
    </w:p>
    <w:p>
      <w:pPr>
        <w:pStyle w:val="Compact"/>
        <w:numPr>
          <w:ilvl w:val="0"/>
          <w:numId w:val="1010"/>
        </w:numPr>
      </w:pPr>
      <w:r>
        <w:t xml:space="preserve">Monitoring and alerting are configured.</w:t>
      </w:r>
    </w:p>
    <w:p>
      <w:pPr>
        <w:pStyle w:val="Compact"/>
        <w:numPr>
          <w:ilvl w:val="0"/>
          <w:numId w:val="1011"/>
        </w:numPr>
      </w:pPr>
      <w:r>
        <w:t xml:space="preserve">Backup and recovery are tested.</w:t>
      </w:r>
    </w:p>
    <w:p>
      <w:pPr>
        <w:pStyle w:val="Compact"/>
        <w:numPr>
          <w:ilvl w:val="0"/>
          <w:numId w:val="1012"/>
        </w:numPr>
      </w:pPr>
      <w:r>
        <w:t xml:space="preserve">Dependency and vulnerability review is current.</w:t>
      </w:r>
    </w:p>
    <w:p>
      <w:pPr>
        <w:pStyle w:val="Compact"/>
        <w:numPr>
          <w:ilvl w:val="0"/>
          <w:numId w:val="1013"/>
        </w:numPr>
      </w:pPr>
      <w:r>
        <w:t xml:space="preserve">Regulatory reporting workflows are validated for the target jurisdiction.</w:t>
      </w:r>
    </w:p>
    <w:p>
      <w:pPr>
        <w:pStyle w:val="Compact"/>
        <w:numPr>
          <w:ilvl w:val="0"/>
          <w:numId w:val="1014"/>
        </w:numPr>
      </w:pPr>
      <w:r>
        <w:t xml:space="preserve">Human review and decision-approval controls are configured.</w:t>
      </w:r>
    </w:p>
    <w:p>
      <w:pPr>
        <w:pStyle w:val="Compact"/>
        <w:numPr>
          <w:ilvl w:val="0"/>
          <w:numId w:val="1015"/>
        </w:numPr>
      </w:pPr>
      <w:r>
        <w:t xml:space="preserve">AI/ML signals are prevented from becoming uncontrolled regulatory authorities.</w:t>
      </w:r>
    </w:p>
    <w:p>
      <w:pPr>
        <w:pStyle w:val="FirstParagraph"/>
      </w:pPr>
      <w:r>
        <w:t xml:space="preserve">This checklist deliberately separates</w:t>
      </w:r>
      <w:r>
        <w:t xml:space="preserve"> </w:t>
      </w:r>
      <w:r>
        <w:rPr>
          <w:b/>
          <w:bCs/>
        </w:rPr>
        <w:t xml:space="preserve">engineering readiness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regulatory production approval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830e24b777a64fe03c69a464dfe76c65feb0af0"/>
      <w:r>
        <w:t xml:space="preserve">15 — Technical Direction</w:t>
      </w:r>
    </w:p>
    <w:p>
      <w:pPr>
        <w:pStyle w:val="FirstParagraph"/>
      </w:pPr>
      <w:r>
        <w:t xml:space="preserve">HISN’s intended evolution is:</w:t>
      </w:r>
    </w:p>
    <w:p>
      <w:pPr>
        <w:pStyle w:val="SourceCode"/>
      </w:pPr>
      <w:r>
        <w:rPr>
          <w:rStyle w:val="VerbatimChar"/>
        </w:rPr>
        <w:t xml:space="preserve">Financial Crime Signals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Evidence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Intelligence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Policy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Decision Runtime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Action / Review / Escalation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Case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Audit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Executive Memory</w:t>
      </w:r>
    </w:p>
    <w:p>
      <w:pPr>
        <w:pStyle w:val="FirstParagraph"/>
      </w:pPr>
      <w:r>
        <w:t xml:space="preserve">The architecture is intentionally modular so that high-scale domains can later become independently deployable services without creating multiple competing decision authorities today.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db6347859a8435e1760dad8cd80ed3f79a5e603"/>
      <w:r>
        <w:t xml:space="preserve">16 — Intellectual Property Boundary</w:t>
      </w:r>
    </w:p>
    <w:p>
      <w:pPr>
        <w:pStyle w:val="FirstParagraph"/>
      </w:pPr>
      <w:r>
        <w:t xml:space="preserve">HISN Enterprise, HISN, حِصْن, its visual identity, original architecture materials, proprietary documentation and original technical artifacts are protected intellectual property unless a specific file expressly states otherwise.</w:t>
      </w:r>
    </w:p>
    <w:p>
      <w:pPr>
        <w:pStyle w:val="BodyText"/>
      </w:pPr>
      <w:r>
        <w:t xml:space="preserve">See</w:t>
      </w:r>
      <w:r>
        <w:t xml:space="preserve"> </w:t>
      </w:r>
      <w:hyperlink r:id="rId29">
        <w:r>
          <w:rPr>
            <w:rStyle w:val="VerbatimChar"/>
          </w:rPr>
          <w:t xml:space="preserve">IP_NOTICE.md</w:t>
        </w:r>
      </w:hyperlink>
      <w:r>
        <w:t xml:space="preserve"> </w:t>
      </w:r>
      <w:r>
        <w:t xml:space="preserve">for the repository’s ownership notice.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p>
      <w:pPr>
        <w:pStyle w:val="Heading3"/>
      </w:pPr>
      <w:bookmarkStart w:id="30" w:name="_b870071a9160942f75f5601ac57150beb590897"/>
      <w:r>
        <w:t xml:space="preserve">HISN Enterprise</w:t>
      </w:r>
    </w:p>
    <w:p>
      <w:pPr>
        <w:pStyle w:val="FirstParagraph"/>
      </w:pPr>
      <w:r>
        <w:rPr>
          <w:b/>
          <w:bCs/>
        </w:rPr>
        <w:t xml:space="preserve">Financial Crime Decision Operating System</w:t>
      </w:r>
    </w:p>
    <w:p>
      <w:pPr>
        <w:pStyle w:val="BodyText"/>
      </w:pPr>
      <w:r>
        <w:rPr>
          <w:i/>
          <w:iCs/>
        </w:rPr>
        <w:t xml:space="preserve">Technical truth. Governed decisions. Enterprise trust.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29" Type="http://schemas.openxmlformats.org/officeDocument/2006/relationships/hyperlink" Target="../IP_NOTICE.md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9" Type="http://schemas.openxmlformats.org/officeDocument/2006/relationships/hyperlink" Target="../IP_NOTICE.md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CTO COMMAND CENTER</dc:title>
  <dc:creator>HISN Platform</dc:creator>
  <cp:keywords>HISN, FCDOS, financial crime, decision operating system</cp:keywords>
  <dcterms:created xsi:type="dcterms:W3CDTF">2026-10-13T12:56:51Z</dcterms:created>
  <dcterms:modified xsi:type="dcterms:W3CDTF">2026-10-13T12:56:51Z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