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36274f8bf08b9be96f9dc4bd686f08fb6c849d7"/>
      <w:r>
        <w:t xml:space="preserve">HISN Assurance Execution Runbook — 2026-08-31</w:t>
      </w:r>
    </w:p>
    <w:p>
      <w:pPr>
        <w:pStyle w:val="FirstParagraph"/>
      </w:pPr>
      <w:r>
        <w:rPr>
          <w:b/>
          <w:bCs/>
        </w:rPr>
        <w:t xml:space="preserve">Document ID:</w:t>
      </w:r>
      <w:r>
        <w:t xml:space="preserve"> </w:t>
      </w:r>
      <w:r>
        <w:t xml:space="preserve">HISN-ASSURANCE-RUNBOOK-2026-08-31</w:t>
      </w:r>
      <w:r>
        <w:br/>
      </w:r>
      <w:r>
        <w:rPr>
          <w:b/>
          <w:bCs/>
        </w:rPr>
        <w:t xml:space="preserve">Status:</w:t>
      </w:r>
      <w:r>
        <w:t xml:space="preserve"> </w:t>
      </w:r>
      <w:r>
        <w:t xml:space="preserve">Active execution procedure</w:t>
      </w:r>
      <w:r>
        <w:br/>
      </w:r>
      <w:r>
        <w:rPr>
          <w:b/>
          <w:bCs/>
        </w:rPr>
        <w:t xml:space="preserve">Purpose:</w:t>
      </w:r>
      <w:r>
        <w:t xml:space="preserve"> </w:t>
      </w:r>
      <w:r>
        <w:t xml:space="preserve">Convert the Assurance Roadmap into reproducible evidence collection and gate-closure steps for Security, Production Readiness, and Pilot E2E.</w:t>
      </w:r>
    </w:p>
    <w:p>
      <w:pPr>
        <w:pStyle w:val="Heading2"/>
      </w:pPr>
      <w:bookmarkStart w:id="10" w:name="_principle"/>
      <w:r>
        <w:t xml:space="preserve">Principle</w:t>
      </w:r>
    </w:p>
    <w:p>
      <w:pPr>
        <w:pStyle w:val="FirstParagraph"/>
      </w:pPr>
      <w:r>
        <w:t xml:space="preserve">A gate closes only when the required artifact exists. A code change, passing test, or document alone does not close a production, security, or customer-acceptance gate.</w:t>
      </w:r>
    </w:p>
    <w:p>
      <w:pPr>
        <w:pStyle w:val="Heading2"/>
      </w:pPr>
      <w:bookmarkStart w:id="11" w:name="_9d7f172e328002e1ed6a82b953a2b6b9d276a8a"/>
      <w:r>
        <w:t xml:space="preserve">Phase 0 — Freeze evidence identity</w:t>
      </w:r>
    </w:p>
    <w:p>
      <w:pPr>
        <w:pStyle w:val="FirstParagraph"/>
      </w:pPr>
      <w:r>
        <w:t xml:space="preserve">Record the exact release commit before each evidence run:</w:t>
      </w:r>
    </w:p>
    <w:p>
      <w:pPr>
        <w:pStyle w:val="SourceCode"/>
      </w:pPr>
      <w:r>
        <w:rPr>
          <w:rStyle w:val="FunctionTok"/>
        </w:rPr>
        <w:t xml:space="preserve">git</w:t>
      </w:r>
      <w:r>
        <w:rPr>
          <w:rStyle w:val="NormalTok"/>
        </w:rPr>
        <w:t xml:space="preserve"> fetch origin </w:t>
      </w:r>
      <w:r>
        <w:rPr>
          <w:rStyle w:val="AttributeTok"/>
        </w:rPr>
        <w:t xml:space="preserve">--prune</w:t>
      </w:r>
      <w:r>
        <w:br/>
      </w:r>
      <w:r>
        <w:rPr>
          <w:rStyle w:val="FunctionTok"/>
        </w:rPr>
        <w:t xml:space="preserve">git</w:t>
      </w:r>
      <w:r>
        <w:rPr>
          <w:rStyle w:val="NormalTok"/>
        </w:rPr>
        <w:t xml:space="preserve"> rev-parse HEAD</w:t>
      </w:r>
      <w:r>
        <w:br/>
      </w:r>
      <w:r>
        <w:rPr>
          <w:rStyle w:val="FunctionTok"/>
        </w:rPr>
        <w:t xml:space="preserve">git</w:t>
      </w:r>
      <w:r>
        <w:rPr>
          <w:rStyle w:val="NormalTok"/>
        </w:rPr>
        <w:t xml:space="preserve"> rev-parse origin/main</w:t>
      </w:r>
      <w:r>
        <w:br/>
      </w:r>
      <w:r>
        <w:rPr>
          <w:rStyle w:val="FunctionTok"/>
        </w:rPr>
        <w:t xml:space="preserve">git</w:t>
      </w:r>
      <w:r>
        <w:rPr>
          <w:rStyle w:val="NormalTok"/>
        </w:rPr>
        <w:t xml:space="preserve"> status </w:t>
      </w:r>
      <w:r>
        <w:rPr>
          <w:rStyle w:val="AttributeTok"/>
        </w:rPr>
        <w:t xml:space="preserve">--short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--branch</w:t>
      </w:r>
    </w:p>
    <w:p>
      <w:pPr>
        <w:pStyle w:val="FirstParagraph"/>
      </w:pPr>
      <w:r>
        <w:t xml:space="preserve">The local and target-environment commit must be recorded in every evidence artifact.</w:t>
      </w:r>
    </w:p>
    <w:p>
      <w:pPr>
        <w:pStyle w:val="Heading2"/>
      </w:pPr>
      <w:bookmarkStart w:id="12" w:name="_fc0934785b10e1b7b3af242bdc8cece49283618"/>
      <w:r>
        <w:t xml:space="preserve">Phase A — Security Assurance</w:t>
      </w:r>
    </w:p>
    <w:p>
      <w:pPr>
        <w:pStyle w:val="Heading3"/>
      </w:pPr>
      <w:bookmarkStart w:id="13" w:name="_c1f7dbc5577a5a534bbe4bde1d8cf321f0a56b9"/>
      <w:r>
        <w:t xml:space="preserve">A1. Existing executable controls</w:t>
      </w:r>
    </w:p>
    <w:p>
      <w:pPr>
        <w:pStyle w:val="FirstParagraph"/>
      </w:pPr>
      <w:r>
        <w:t xml:space="preserve">Run the relevant security suites:</w:t>
      </w:r>
    </w:p>
    <w:p>
      <w:pPr>
        <w:pStyle w:val="SourceCode"/>
      </w:pPr>
      <w:r>
        <w:rPr>
          <w:rStyle w:val="ExtensionTok"/>
        </w:rPr>
        <w:t xml:space="preserve">python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-m</w:t>
      </w:r>
      <w:r>
        <w:rPr>
          <w:rStyle w:val="NormalTok"/>
        </w:rPr>
        <w:t xml:space="preserve"> pytest </w:t>
      </w:r>
      <w:r>
        <w:rPr>
          <w:rStyle w:val="AttributeTok"/>
        </w:rPr>
        <w:t xml:space="preserve">-q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tests/test_blackbox_auth.py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tests/test_blackbox_jwt.py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tests/test_runtime_authorization.py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tests/test_tenant_rls.py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tests/test_gate08_authorization.py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tests/test_gate08_sensitive_api_auth.py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tests/test_gate09_provider_truthfulness.py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tests/test_security_fuzz.py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tests/test_security_headers.py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tests/test_security_json.py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tests/test_security_sql_injection.py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tests/test_gate10_security.py</w:t>
      </w:r>
    </w:p>
    <w:p>
      <w:pPr>
        <w:pStyle w:val="Heading3"/>
      </w:pPr>
      <w:bookmarkStart w:id="14" w:name="_045205c8e94abbdeaa63285c7ece07952c4c114"/>
      <w:r>
        <w:t xml:space="preserve">A2. Dependency and image evidence</w:t>
      </w:r>
    </w:p>
    <w:p>
      <w:pPr>
        <w:pStyle w:val="FirstParagraph"/>
      </w:pPr>
      <w:r>
        <w:t xml:space="preserve">Where the tools are available in the assessment environment, retain versioned output from:</w:t>
      </w:r>
    </w:p>
    <w:p>
      <w:pPr>
        <w:pStyle w:val="SourceCode"/>
      </w:pPr>
      <w:r>
        <w:rPr>
          <w:rStyle w:val="ExtensionTok"/>
        </w:rPr>
        <w:t xml:space="preserve">python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-m</w:t>
      </w:r>
      <w:r>
        <w:rPr>
          <w:rStyle w:val="NormalTok"/>
        </w:rPr>
        <w:t xml:space="preserve"> pip install </w:t>
      </w:r>
      <w:r>
        <w:rPr>
          <w:rStyle w:val="AttributeTok"/>
        </w:rPr>
        <w:t xml:space="preserve">--upgrade</w:t>
      </w:r>
      <w:r>
        <w:rPr>
          <w:rStyle w:val="NormalTok"/>
        </w:rPr>
        <w:t xml:space="preserve"> pip-audit</w:t>
      </w:r>
      <w:r>
        <w:br/>
      </w:r>
      <w:r>
        <w:rPr>
          <w:rStyle w:val="ExtensionTok"/>
        </w:rPr>
        <w:t xml:space="preserve">pip-audit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-r</w:t>
      </w:r>
      <w:r>
        <w:rPr>
          <w:rStyle w:val="NormalTok"/>
        </w:rPr>
        <w:t xml:space="preserve"> requirements.txt</w:t>
      </w:r>
    </w:p>
    <w:p>
      <w:pPr>
        <w:pStyle w:val="FirstParagraph"/>
      </w:pPr>
      <w:r>
        <w:t xml:space="preserve">For the exact application image, retain the output of one approved container scanner available in the environment, for example:</w:t>
      </w:r>
    </w:p>
    <w:p>
      <w:pPr>
        <w:pStyle w:val="SourceCode"/>
      </w:pPr>
      <w:r>
        <w:rPr>
          <w:rStyle w:val="ExtensionTok"/>
        </w:rPr>
        <w:t xml:space="preserve">trivy</w:t>
      </w:r>
      <w:r>
        <w:rPr>
          <w:rStyle w:val="NormalTok"/>
        </w:rPr>
        <w:t xml:space="preserve"> image </w:t>
      </w:r>
      <w:r>
        <w:rPr>
          <w:rStyle w:val="AttributeTok"/>
        </w:rPr>
        <w:t xml:space="preserve">--severity</w:t>
      </w:r>
      <w:r>
        <w:rPr>
          <w:rStyle w:val="NormalTok"/>
        </w:rPr>
        <w:t xml:space="preserve"> HIGH,CRITICAL </w:t>
      </w:r>
      <w:r>
        <w:rPr>
          <w:rStyle w:val="AttributeTok"/>
        </w:rPr>
        <w:t xml:space="preserve">--ignore-unfixed</w:t>
      </w:r>
      <w:r>
        <w:rPr>
          <w:rStyle w:val="NormalTok"/>
        </w:rPr>
        <w:t xml:space="preserve"> hisn-platform-updated-app</w:t>
      </w:r>
    </w:p>
    <w:p>
      <w:pPr>
        <w:pStyle w:val="FirstParagraph"/>
      </w:pPr>
      <w:r>
        <w:t xml:space="preserve">or the organization’s approved equivalent. If the scanner is unavailable, record that as</w:t>
      </w:r>
      <w:r>
        <w:t xml:space="preserve"> </w:t>
      </w:r>
      <w:r>
        <w:rPr>
          <w:rStyle w:val="VerbatimChar"/>
        </w:rPr>
        <w:t xml:space="preserve">OPEN</w:t>
      </w:r>
      <w:r>
        <w:t xml:space="preserve">; do not claim a clean scan.</w:t>
      </w:r>
    </w:p>
    <w:p>
      <w:pPr>
        <w:pStyle w:val="Heading3"/>
      </w:pPr>
      <w:bookmarkStart w:id="15" w:name="_03c9254e1afcd6ceccfe29ad4fffd2918ca0570"/>
      <w:r>
        <w:t xml:space="preserve">A3. Secret/configuration review</w:t>
      </w:r>
    </w:p>
    <w:p>
      <w:pPr>
        <w:pStyle w:val="FirstParagraph"/>
      </w:pPr>
      <w:r>
        <w:t xml:space="preserve">Review environment and repository configuration without publishing secret values. Confirm:</w:t>
      </w:r>
    </w:p>
    <w:p>
      <w:pPr>
        <w:pStyle w:val="Compact"/>
        <w:numPr>
          <w:ilvl w:val="0"/>
          <w:numId w:val="1001"/>
        </w:numPr>
      </w:pPr>
      <w:r>
        <w:t xml:space="preserve">secrets are supplied through environment/secret management;</w:t>
      </w:r>
    </w:p>
    <w:p>
      <w:pPr>
        <w:pStyle w:val="Compact"/>
        <w:numPr>
          <w:ilvl w:val="0"/>
          <w:numId w:val="1001"/>
        </w:numPr>
      </w:pPr>
      <w:r>
        <w:t xml:space="preserve">no credentials or private keys are committed;</w:t>
      </w:r>
    </w:p>
    <w:p>
      <w:pPr>
        <w:pStyle w:val="Compact"/>
        <w:numPr>
          <w:ilvl w:val="0"/>
          <w:numId w:val="1001"/>
        </w:numPr>
      </w:pPr>
      <w:r>
        <w:t xml:space="preserve">production configuration differs from local development where required;</w:t>
      </w:r>
    </w:p>
    <w:p>
      <w:pPr>
        <w:pStyle w:val="Compact"/>
        <w:numPr>
          <w:ilvl w:val="0"/>
          <w:numId w:val="1001"/>
        </w:numPr>
      </w:pPr>
      <w:r>
        <w:t xml:space="preserve">logs do not expose secrets.</w:t>
      </w:r>
    </w:p>
    <w:p>
      <w:pPr>
        <w:pStyle w:val="FirstParagraph"/>
      </w:pPr>
      <w:r>
        <w:t xml:space="preserve">The repository collector</w:t>
      </w:r>
      <w:r>
        <w:t xml:space="preserve"> </w:t>
      </w:r>
      <w:r>
        <w:rPr>
          <w:rStyle w:val="VerbatimChar"/>
        </w:rPr>
        <w:t xml:space="preserve">scripts/assurance/local_assurance_evidence.py</w:t>
      </w:r>
      <w:r>
        <w:t xml:space="preserve"> </w:t>
      </w:r>
      <w:r>
        <w:t xml:space="preserve">provides a heuristic secret-pattern check only; it is not a substitute for a dedicated secret scanner.</w:t>
      </w:r>
    </w:p>
    <w:p>
      <w:pPr>
        <w:pStyle w:val="Heading3"/>
      </w:pPr>
      <w:bookmarkStart w:id="16" w:name="_52588739874ecfa610a2672e19471de7cb84ec9"/>
      <w:r>
        <w:t xml:space="preserve">A4. Independent assessment</w:t>
      </w:r>
    </w:p>
    <w:p>
      <w:pPr>
        <w:pStyle w:val="FirstParagraph"/>
      </w:pPr>
      <w:r>
        <w:t xml:space="preserve">For bank-grade assurance, an independent reviewer should test authenticated/unauthenticated attack paths, authorization bypass, tenant isolation, injection, sensitive data exposure, dependency/container exposure, and deployment configuration.</w:t>
      </w:r>
    </w:p>
    <w:p>
      <w:pPr>
        <w:pStyle w:val="BodyText"/>
      </w:pPr>
      <w:r>
        <w:rPr>
          <w:b/>
          <w:bCs/>
        </w:rPr>
        <w:t xml:space="preserve">Gate A closes only when:</w:t>
      </w:r>
      <w:r>
        <w:t xml:space="preserve"> </w:t>
      </w:r>
      <w:r>
        <w:t xml:space="preserve">no unresolved critical security findings remain, high findings have an accepted remediation/closure decision, dependency/image results are recorded, configuration/secrets review is recorded, and independent review evidence is attached where required.</w:t>
      </w:r>
    </w:p>
    <w:p>
      <w:pPr>
        <w:pStyle w:val="Heading2"/>
      </w:pPr>
      <w:bookmarkStart w:id="17" w:name="_6bfc4cbe84a4e7003fd68ebe1bd535aae8ba72a"/>
      <w:r>
        <w:t xml:space="preserve">Phase B — Production Readiness</w:t>
      </w:r>
    </w:p>
    <w:p>
      <w:pPr>
        <w:pStyle w:val="Heading3"/>
      </w:pPr>
      <w:bookmarkStart w:id="18" w:name="_67665708e03eab88aa7a0d1983359510f969090"/>
      <w:r>
        <w:t xml:space="preserve">B1. Local engineering evidence</w:t>
      </w:r>
    </w:p>
    <w:p>
      <w:pPr>
        <w:pStyle w:val="SourceCode"/>
      </w:pPr>
      <w:r>
        <w:rPr>
          <w:rStyle w:val="ExtensionTok"/>
        </w:rPr>
        <w:t xml:space="preserve">python</w:t>
      </w:r>
      <w:r>
        <w:rPr>
          <w:rStyle w:val="NormalTok"/>
        </w:rPr>
        <w:t xml:space="preserve"> scripts/assurance/local_assurance_evidence.py</w:t>
      </w:r>
    </w:p>
    <w:p>
      <w:pPr>
        <w:pStyle w:val="FirstParagraph"/>
      </w:pPr>
      <w:r>
        <w:t xml:space="preserve">Retain the generated JSON artifact under</w:t>
      </w:r>
      <w:r>
        <w:t xml:space="preserve"> </w:t>
      </w:r>
      <w:r>
        <w:rPr>
          <w:rStyle w:val="VerbatimChar"/>
        </w:rPr>
        <w:t xml:space="preserve">artifacts/assurance/</w:t>
      </w:r>
      <w:r>
        <w:t xml:space="preserve">. Do not commit environment secrets or raw database dumps.</w:t>
      </w:r>
    </w:p>
    <w:p>
      <w:pPr>
        <w:pStyle w:val="Heading3"/>
      </w:pPr>
      <w:bookmarkStart w:id="19" w:name="_9579c47a5b42dd686c60f94aa85caf7c4d58569"/>
      <w:r>
        <w:t xml:space="preserve">B2. Clean database migration</w:t>
      </w:r>
    </w:p>
    <w:p>
      <w:pPr>
        <w:pStyle w:val="SourceCode"/>
      </w:pPr>
      <w:r>
        <w:rPr>
          <w:rStyle w:val="BuiltInTok"/>
        </w:rPr>
        <w:t xml:space="preserve">read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HISN_DB_PASSWORD</w:t>
      </w:r>
      <w:r>
        <w:br/>
      </w: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HISN_DISPOSABLE_DATABASE_URL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"postgresql://hisn:</w:t>
      </w:r>
      <w:r>
        <w:rPr>
          <w:rStyle w:val="VariableTok"/>
        </w:rPr>
        <w:t xml:space="preserve">${HISN_DB_PASSWORD}</w:t>
      </w:r>
      <w:r>
        <w:rPr>
          <w:rStyle w:val="StringTok"/>
        </w:rPr>
        <w:t xml:space="preserve">@127.0.0.1:5432/postgres"</w:t>
      </w:r>
      <w:r>
        <w:br/>
      </w:r>
      <w:r>
        <w:rPr>
          <w:rStyle w:val="ExtensionTok"/>
        </w:rPr>
        <w:t xml:space="preserve">python</w:t>
      </w:r>
      <w:r>
        <w:rPr>
          <w:rStyle w:val="NormalTok"/>
        </w:rPr>
        <w:t xml:space="preserve"> scripts/assurance/disposable_database_rehearsal.py</w:t>
      </w:r>
      <w:r>
        <w:br/>
      </w:r>
      <w:r>
        <w:rPr>
          <w:rStyle w:val="BuiltInTok"/>
        </w:rPr>
        <w:t xml:space="preserve">unset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HISN_DB_PASSWORD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HISN_DISPOSABLE_DATABASE_URL</w:t>
      </w:r>
    </w:p>
    <w:p>
      <w:pPr>
        <w:pStyle w:val="FirstParagraph"/>
      </w:pPr>
      <w:r>
        <w:t xml:space="preserve">The rehearsal must end with</w:t>
      </w:r>
      <w:r>
        <w:t xml:space="preserve"> </w:t>
      </w:r>
      <w:r>
        <w:rPr>
          <w:rStyle w:val="VerbatimChar"/>
        </w:rPr>
        <w:t xml:space="preserve">Disposable clean-database migration rehearsal: PASS</w:t>
      </w:r>
      <w:r>
        <w:t xml:space="preserve"> </w:t>
      </w:r>
      <w:r>
        <w:t xml:space="preserve">and record the canonical migration chain and schema invariants.</w:t>
      </w:r>
    </w:p>
    <w:p>
      <w:pPr>
        <w:pStyle w:val="Heading3"/>
      </w:pPr>
      <w:bookmarkStart w:id="20" w:name="_81904a2cddd69ed9d090d101f4d293447153de0"/>
      <w:r>
        <w:t xml:space="preserve">B3. Local exact-commit build/startup</w:t>
      </w:r>
    </w:p>
    <w:p>
      <w:pPr>
        <w:pStyle w:val="SourceCode"/>
      </w:pPr>
      <w:r>
        <w:rPr>
          <w:rStyle w:val="ExtensionTok"/>
        </w:rPr>
        <w:t xml:space="preserve">docker</w:t>
      </w:r>
      <w:r>
        <w:rPr>
          <w:rStyle w:val="NormalTok"/>
        </w:rPr>
        <w:t xml:space="preserve"> compose build </w:t>
      </w:r>
      <w:r>
        <w:rPr>
          <w:rStyle w:val="AttributeTok"/>
        </w:rPr>
        <w:t xml:space="preserve">--pull</w:t>
      </w:r>
      <w:r>
        <w:br/>
      </w:r>
      <w:r>
        <w:rPr>
          <w:rStyle w:val="ExtensionTok"/>
        </w:rPr>
        <w:t xml:space="preserve">docker</w:t>
      </w:r>
      <w:r>
        <w:rPr>
          <w:rStyle w:val="NormalTok"/>
        </w:rPr>
        <w:t xml:space="preserve"> compose up </w:t>
      </w:r>
      <w:r>
        <w:rPr>
          <w:rStyle w:val="AttributeTok"/>
        </w:rPr>
        <w:t xml:space="preserve">-d</w:t>
      </w:r>
      <w:r>
        <w:br/>
      </w: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-fsS</w:t>
      </w:r>
      <w:r>
        <w:rPr>
          <w:rStyle w:val="NormalTok"/>
        </w:rPr>
        <w:t xml:space="preserve"> http://127.0.0.1:8000/health</w:t>
      </w:r>
    </w:p>
    <w:p>
      <w:pPr>
        <w:pStyle w:val="FirstParagraph"/>
      </w:pPr>
      <w:r>
        <w:t xml:space="preserve">This is local build evidence only.</w:t>
      </w:r>
    </w:p>
    <w:p>
      <w:pPr>
        <w:pStyle w:val="Heading3"/>
      </w:pPr>
      <w:bookmarkStart w:id="21" w:name="_a030bf310eae92ac675cd82e174d56d4ec86f84"/>
      <w:r>
        <w:t xml:space="preserve">B4. Runtime proof</w:t>
      </w:r>
    </w:p>
    <w:p>
      <w:pPr>
        <w:pStyle w:val="SourceCode"/>
      </w:pPr>
      <w:r>
        <w:rPr>
          <w:rStyle w:val="ExtensionTok"/>
        </w:rPr>
        <w:t xml:space="preserve">docker</w:t>
      </w:r>
      <w:r>
        <w:rPr>
          <w:rStyle w:val="NormalTok"/>
        </w:rPr>
        <w:t xml:space="preserve"> compose exec </w:t>
      </w:r>
      <w:r>
        <w:rPr>
          <w:rStyle w:val="AttributeTok"/>
        </w:rPr>
        <w:t xml:space="preserve">-T</w:t>
      </w:r>
      <w:r>
        <w:rPr>
          <w:rStyle w:val="NormalTok"/>
        </w:rPr>
        <w:t xml:space="preserve"> app python </w:t>
      </w:r>
      <w:r>
        <w:rPr>
          <w:rStyle w:val="AttributeTok"/>
        </w:rPr>
        <w:t xml:space="preserve">-c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"from src.bootstrap.container import create_engine_registry; r=create_engine_registry(); print(r.list()); print(len(r.list()))"</w:t>
      </w:r>
      <w:r>
        <w:br/>
      </w:r>
      <w:r>
        <w:rPr>
          <w:rStyle w:val="ExtensionTok"/>
        </w:rPr>
        <w:t xml:space="preserve">python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-m</w:t>
      </w:r>
      <w:r>
        <w:rPr>
          <w:rStyle w:val="NormalTok"/>
        </w:rPr>
        <w:t xml:space="preserve"> pytest </w:t>
      </w:r>
      <w:r>
        <w:rPr>
          <w:rStyle w:val="AttributeTok"/>
        </w:rPr>
        <w:t xml:space="preserve">-q</w:t>
      </w:r>
      <w:r>
        <w:rPr>
          <w:rStyle w:val="NormalTok"/>
        </w:rPr>
        <w:t xml:space="preserve"> tests/test_e2e_transparent_golden_path.py</w:t>
      </w:r>
    </w:p>
    <w:p>
      <w:pPr>
        <w:pStyle w:val="Heading3"/>
      </w:pPr>
      <w:bookmarkStart w:id="22" w:name="_605ef25ff93023e20b040906481775466ce021d"/>
      <w:r>
        <w:t xml:space="preserve">B5. Backup / restore rehearsal</w:t>
      </w:r>
    </w:p>
    <w:p>
      <w:pPr>
        <w:pStyle w:val="FirstParagraph"/>
      </w:pPr>
      <w:r>
        <w:t xml:space="preserve">Run only against a disposable PostgreSQL server/database:</w:t>
      </w:r>
    </w:p>
    <w:p>
      <w:pPr>
        <w:pStyle w:val="SourceCode"/>
      </w:pPr>
      <w:r>
        <w:rPr>
          <w:rStyle w:val="BuiltInTok"/>
        </w:rPr>
        <w:t xml:space="preserve">read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HISN_DB_PASSWORD</w:t>
      </w:r>
      <w:r>
        <w:br/>
      </w: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HISN_DISPOSABLE_DATABASE_URL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"postgresql://hisn:</w:t>
      </w:r>
      <w:r>
        <w:rPr>
          <w:rStyle w:val="VariableTok"/>
        </w:rPr>
        <w:t xml:space="preserve">${HISN_DB_PASSWORD}</w:t>
      </w:r>
      <w:r>
        <w:rPr>
          <w:rStyle w:val="StringTok"/>
        </w:rPr>
        <w:t xml:space="preserve">@127.0.0.1:5432/postgres"</w:t>
      </w:r>
      <w:r>
        <w:br/>
      </w:r>
      <w:r>
        <w:rPr>
          <w:rStyle w:val="ExtensionTok"/>
        </w:rPr>
        <w:t xml:space="preserve">python</w:t>
      </w:r>
      <w:r>
        <w:rPr>
          <w:rStyle w:val="NormalTok"/>
        </w:rPr>
        <w:t xml:space="preserve"> scripts/assurance/backup_restore_rehearsal.py</w:t>
      </w:r>
      <w:r>
        <w:br/>
      </w:r>
      <w:r>
        <w:rPr>
          <w:rStyle w:val="BuiltInTok"/>
        </w:rPr>
        <w:t xml:space="preserve">unset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HISN_DB_PASSWORD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HISN_DISPOSABLE_DATABASE_URL</w:t>
      </w:r>
    </w:p>
    <w:p>
      <w:pPr>
        <w:pStyle w:val="FirstParagraph"/>
      </w:pPr>
      <w:r>
        <w:t xml:space="preserve">Expected terminal proof includes:</w:t>
      </w:r>
    </w:p>
    <w:p>
      <w:pPr>
        <w:pStyle w:val="SourceCode"/>
      </w:pPr>
      <w:r>
        <w:rPr>
          <w:rStyle w:val="VerbatimChar"/>
        </w:rPr>
        <w:t xml:space="preserve">Creating PostgreSQL custom-format backup...</w:t>
      </w:r>
      <w:r>
        <w:br/>
      </w:r>
      <w:r>
        <w:rPr>
          <w:rStyle w:val="VerbatimChar"/>
        </w:rPr>
        <w:t xml:space="preserve">Restoring backup into clean disposable database...</w:t>
      </w:r>
      <w:r>
        <w:br/>
      </w:r>
      <w:r>
        <w:rPr>
          <w:rStyle w:val="VerbatimChar"/>
        </w:rPr>
        <w:t xml:space="preserve">Backup artifact SHA256: &lt;hex&gt;</w:t>
      </w:r>
      <w:r>
        <w:br/>
      </w:r>
      <w:r>
        <w:rPr>
          <w:rStyle w:val="VerbatimChar"/>
        </w:rPr>
        <w:t xml:space="preserve">Disposable backup/restore rehearsal: PASS</w:t>
      </w:r>
      <w:r>
        <w:br/>
      </w:r>
      <w:r>
        <w:rPr>
          <w:rStyle w:val="VerbatimChar"/>
        </w:rPr>
        <w:t xml:space="preserve">Removed disposable databases: ...</w:t>
      </w:r>
    </w:p>
    <w:p>
      <w:pPr>
        <w:pStyle w:val="FirstParagraph"/>
      </w:pPr>
      <w:r>
        <w:t xml:space="preserve">This proves backup/restore mechanics and data integrity for the rehearsed database shape. It does not prove cloud-provider retention, PITR, encryption-at-rest policy, or service-level RPO/RTO.</w:t>
      </w:r>
    </w:p>
    <w:p>
      <w:pPr>
        <w:pStyle w:val="Heading3"/>
      </w:pPr>
      <w:bookmarkStart w:id="23" w:name="_74b0505529764b9f0ac1f03b3c748160cb72a94"/>
      <w:r>
        <w:t xml:space="preserve">B6. Database rollback rehearsal</w:t>
      </w:r>
    </w:p>
    <w:p>
      <w:pPr>
        <w:pStyle w:val="SourceCode"/>
      </w:pPr>
      <w:r>
        <w:rPr>
          <w:rStyle w:val="BuiltInTok"/>
        </w:rPr>
        <w:t xml:space="preserve">read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HISN_DB_PASSWORD</w:t>
      </w:r>
      <w:r>
        <w:br/>
      </w: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HISN_DISPOSABLE_DATABASE_URL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"postgresql://hisn:</w:t>
      </w:r>
      <w:r>
        <w:rPr>
          <w:rStyle w:val="VariableTok"/>
        </w:rPr>
        <w:t xml:space="preserve">${HISN_DB_PASSWORD}</w:t>
      </w:r>
      <w:r>
        <w:rPr>
          <w:rStyle w:val="StringTok"/>
        </w:rPr>
        <w:t xml:space="preserve">@127.0.0.1:5432/postgres"</w:t>
      </w:r>
      <w:r>
        <w:br/>
      </w:r>
      <w:r>
        <w:rPr>
          <w:rStyle w:val="ExtensionTok"/>
        </w:rPr>
        <w:t xml:space="preserve">python</w:t>
      </w:r>
      <w:r>
        <w:rPr>
          <w:rStyle w:val="NormalTok"/>
        </w:rPr>
        <w:t xml:space="preserve"> scripts/assurance/rollback_rehearsal.py</w:t>
      </w:r>
      <w:r>
        <w:br/>
      </w:r>
      <w:r>
        <w:rPr>
          <w:rStyle w:val="BuiltInTok"/>
        </w:rPr>
        <w:t xml:space="preserve">unset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HISN_DB_PASSWORD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HISN_DISPOSABLE_DATABASE_URL</w:t>
      </w:r>
    </w:p>
    <w:p>
      <w:pPr>
        <w:pStyle w:val="FirstParagraph"/>
      </w:pPr>
      <w:r>
        <w:t xml:space="preserve">Expected terminal proof includes:</w:t>
      </w:r>
    </w:p>
    <w:p>
      <w:pPr>
        <w:pStyle w:val="SourceCode"/>
      </w:pPr>
      <w:r>
        <w:rPr>
          <w:rStyle w:val="VerbatimChar"/>
        </w:rPr>
        <w:t xml:space="preserve">Known-good backup SHA256: &lt;hex&gt;</w:t>
      </w:r>
      <w:r>
        <w:br/>
      </w:r>
      <w:r>
        <w:rPr>
          <w:rStyle w:val="VerbatimChar"/>
        </w:rPr>
        <w:t xml:space="preserve">Disposable rollback rehearsal: PASS</w:t>
      </w:r>
      <w:r>
        <w:br/>
      </w:r>
      <w:r>
        <w:rPr>
          <w:rStyle w:val="VerbatimChar"/>
        </w:rPr>
        <w:t xml:space="preserve">NOTE: This proves database-state recovery only; application artifact rollback still requires target deployment evidence.</w:t>
      </w:r>
    </w:p>
    <w:p>
      <w:pPr>
        <w:pStyle w:val="Heading3"/>
      </w:pPr>
      <w:bookmarkStart w:id="24" w:name="_9d2055155a94256d143fb47be9ff2afcd206b89"/>
      <w:r>
        <w:t xml:space="preserve">B7. Target environment evidence</w:t>
      </w:r>
    </w:p>
    <w:p>
      <w:pPr>
        <w:pStyle w:val="FirstParagraph"/>
      </w:pPr>
      <w:r>
        <w:t xml:space="preserve">Use the canonical target collector newly added to the platform repository:</w:t>
      </w:r>
    </w:p>
    <w:p>
      <w:pPr>
        <w:pStyle w:val="SourceCode"/>
      </w:pP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HISN_TARGET_BASE_URL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"https://&lt;target-host&gt;"</w:t>
      </w:r>
      <w:r>
        <w:br/>
      </w: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HISN_EXPECTED_VERSION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"10.0.1"</w:t>
      </w:r>
      <w:r>
        <w:br/>
      </w: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HISN_EXPECTED_RELEASE_SHA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$(</w:t>
      </w:r>
      <w:r>
        <w:rPr>
          <w:rStyle w:val="FunctionTok"/>
        </w:rPr>
        <w:t xml:space="preserve">git</w:t>
      </w:r>
      <w:r>
        <w:rPr>
          <w:rStyle w:val="NormalTok"/>
        </w:rPr>
        <w:t xml:space="preserve"> rev-parse HEAD</w:t>
      </w:r>
      <w:r>
        <w:rPr>
          <w:rStyle w:val="VariableTok"/>
        </w:rPr>
        <w:t xml:space="preserve">)</w:t>
      </w:r>
      <w:r>
        <w:rPr>
          <w:rStyle w:val="StringTok"/>
        </w:rPr>
        <w:t xml:space="preserve">"</w:t>
      </w:r>
      <w:r>
        <w:br/>
      </w:r>
      <w:r>
        <w:rPr>
          <w:rStyle w:val="ExtensionTok"/>
        </w:rPr>
        <w:t xml:space="preserve">python</w:t>
      </w:r>
      <w:r>
        <w:rPr>
          <w:rStyle w:val="NormalTok"/>
        </w:rPr>
        <w:t xml:space="preserve"> scripts/assurance/target_environment_evidence.py</w:t>
      </w:r>
      <w:r>
        <w:br/>
      </w:r>
      <w:r>
        <w:rPr>
          <w:rStyle w:val="BuiltInTok"/>
        </w:rPr>
        <w:t xml:space="preserve">unset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HISN_TARGET_BASE_URL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HISN_EXPECTED_VERSION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HISN_EXPECTED_RELEASE_SHA</w:t>
      </w:r>
    </w:p>
    <w:p>
      <w:pPr>
        <w:pStyle w:val="FirstParagraph"/>
      </w:pPr>
      <w:r>
        <w:t xml:space="preserve">The collector records target</w:t>
      </w:r>
      <w:r>
        <w:t xml:space="preserve"> </w:t>
      </w:r>
      <w:r>
        <w:rPr>
          <w:rStyle w:val="VerbatimChar"/>
        </w:rPr>
        <w:t xml:space="preserve">/health</w:t>
      </w:r>
      <w:r>
        <w:t xml:space="preserve">, public entrypoint, login entrypoint, security headers, observed version, and an explicit provenance limitation. It never emits credentials. A successful HTTP run is target evidence, not a regulatory or independent audit certification.</w:t>
      </w:r>
    </w:p>
    <w:p>
      <w:pPr>
        <w:pStyle w:val="Heading3"/>
      </w:pPr>
      <w:bookmarkStart w:id="25" w:name="_6b77c9ac21f7f8a95eed26a777d2d5f46229738"/>
      <w:r>
        <w:t xml:space="preserve">B8. Target deployment provenance</w:t>
      </w:r>
    </w:p>
    <w:p>
      <w:pPr>
        <w:pStyle w:val="FirstParagraph"/>
      </w:pPr>
      <w:r>
        <w:t xml:space="preserve">Do not infer the deployed commit from a generic website response. Retain the deployment platform’s deployment ID, commit SHA, timestamp, URL, and build/deploy result. If the platform cannot expose exact commit provenance, mark the provenance control</w:t>
      </w:r>
      <w:r>
        <w:t xml:space="preserve"> </w:t>
      </w:r>
      <w:r>
        <w:rPr>
          <w:rStyle w:val="VerbatimChar"/>
        </w:rPr>
        <w:t xml:space="preserve">OPEN</w:t>
      </w:r>
      <w:r>
        <w:t xml:space="preserve"> </w:t>
      </w:r>
      <w:r>
        <w:t xml:space="preserve">rather than guessing.</w:t>
      </w:r>
    </w:p>
    <w:p>
      <w:pPr>
        <w:pStyle w:val="Heading3"/>
      </w:pPr>
      <w:bookmarkStart w:id="26" w:name="_951d8be241da843e46b22e7cace72ded9eaae15"/>
      <w:r>
        <w:t xml:space="preserve">B9. Target observability and recovery</w:t>
      </w:r>
    </w:p>
    <w:p>
      <w:pPr>
        <w:pStyle w:val="FirstParagraph"/>
      </w:pPr>
      <w:r>
        <w:t xml:space="preserve">Retain target logs/metrics/traces for one controlled decision run and record:</w:t>
      </w:r>
    </w:p>
    <w:p>
      <w:pPr>
        <w:pStyle w:val="Compact"/>
        <w:numPr>
          <w:ilvl w:val="0"/>
          <w:numId w:val="1002"/>
        </w:numPr>
      </w:pPr>
      <w:r>
        <w:t xml:space="preserve">deployment identifier and commit;</w:t>
      </w:r>
    </w:p>
    <w:p>
      <w:pPr>
        <w:pStyle w:val="Compact"/>
        <w:numPr>
          <w:ilvl w:val="0"/>
          <w:numId w:val="1002"/>
        </w:numPr>
      </w:pPr>
      <w:r>
        <w:t xml:space="preserve">request/correlation identifier;</w:t>
      </w:r>
    </w:p>
    <w:p>
      <w:pPr>
        <w:pStyle w:val="Compact"/>
        <w:numPr>
          <w:ilvl w:val="0"/>
          <w:numId w:val="1002"/>
        </w:numPr>
      </w:pPr>
      <w:r>
        <w:t xml:space="preserve">decision ID;</w:t>
      </w:r>
    </w:p>
    <w:p>
      <w:pPr>
        <w:pStyle w:val="Compact"/>
        <w:numPr>
          <w:ilvl w:val="0"/>
          <w:numId w:val="1002"/>
        </w:numPr>
      </w:pPr>
      <w:r>
        <w:t xml:space="preserve">engine set actually executed;</w:t>
      </w:r>
    </w:p>
    <w:p>
      <w:pPr>
        <w:pStyle w:val="Compact"/>
        <w:numPr>
          <w:ilvl w:val="0"/>
          <w:numId w:val="1002"/>
        </w:numPr>
      </w:pPr>
      <w:r>
        <w:t xml:space="preserve">evidence/audit identifiers;</w:t>
      </w:r>
    </w:p>
    <w:p>
      <w:pPr>
        <w:pStyle w:val="Compact"/>
        <w:numPr>
          <w:ilvl w:val="0"/>
          <w:numId w:val="1002"/>
        </w:numPr>
      </w:pPr>
      <w:r>
        <w:t xml:space="preserve">error behavior for a controlled failure;</w:t>
      </w:r>
    </w:p>
    <w:p>
      <w:pPr>
        <w:pStyle w:val="Compact"/>
        <w:numPr>
          <w:ilvl w:val="0"/>
          <w:numId w:val="1002"/>
        </w:numPr>
      </w:pPr>
      <w:r>
        <w:t xml:space="preserve">recovery/restore test reference.</w:t>
      </w:r>
    </w:p>
    <w:p>
      <w:pPr>
        <w:pStyle w:val="Heading3"/>
      </w:pPr>
      <w:bookmarkStart w:id="27" w:name="_6fe18b31ca6b79ac627aff27a629718034142b3"/>
      <w:r>
        <w:t xml:space="preserve">B10. Production readiness closure</w:t>
      </w:r>
    </w:p>
    <w:p>
      <w:pPr>
        <w:pStyle w:val="FirstParagraph"/>
      </w:pPr>
      <w:r>
        <w:rPr>
          <w:b/>
          <w:bCs/>
        </w:rPr>
        <w:t xml:space="preserve">Gate B closes only when</w:t>
      </w:r>
      <w:r>
        <w:t xml:space="preserve"> </w:t>
      </w:r>
      <w:r>
        <w:t xml:space="preserve">the same canonical artifact is shown to build/deploy in the target environment, target health passes, target observability exists, recovery evidence exists, application artifact rollback is rehearsed or otherwise evidenced, and the target commit provenance is exact.</w:t>
      </w:r>
    </w:p>
    <w:p>
      <w:pPr>
        <w:pStyle w:val="Heading2"/>
      </w:pPr>
      <w:bookmarkStart w:id="28" w:name="_7fd38c7ce7647954d94a94184dd2f09d7b5bd6d"/>
      <w:r>
        <w:t xml:space="preserve">Phase C — Pilot E2E Acceptance</w:t>
      </w:r>
    </w:p>
    <w:p>
      <w:pPr>
        <w:pStyle w:val="Heading3"/>
      </w:pPr>
      <w:bookmarkStart w:id="29" w:name="_b3f79cd73adb7dc45f5f0bb9fd2d881a28d18ef"/>
      <w:r>
        <w:t xml:space="preserve">C1. Frontend automated contract</w:t>
      </w:r>
    </w:p>
    <w:p>
      <w:pPr>
        <w:pStyle w:val="FirstParagraph"/>
      </w:pPr>
      <w:r>
        <w:t xml:space="preserve">The canonical frontend repository defines the browser test runner as</w:t>
      </w:r>
      <w:r>
        <w:t xml:space="preserve"> </w:t>
      </w:r>
      <w:r>
        <w:rPr>
          <w:rStyle w:val="VerbatimChar"/>
        </w:rPr>
        <w:t xml:space="preserve">npm run browser:e2e</w:t>
      </w:r>
      <w:r>
        <w:t xml:space="preserve">, and the Playwright configuration accepts</w:t>
      </w:r>
      <w:r>
        <w:t xml:space="preserve"> </w:t>
      </w:r>
      <w:r>
        <w:rPr>
          <w:rStyle w:val="VerbatimChar"/>
        </w:rPr>
        <w:t xml:space="preserve">HISN_E2E_BASE_URL</w:t>
      </w:r>
      <w:r>
        <w:t xml:space="preserve">. The current pilot suite is</w:t>
      </w:r>
      <w:r>
        <w:t xml:space="preserve"> </w:t>
      </w:r>
      <w:r>
        <w:rPr>
          <w:rStyle w:val="VerbatimChar"/>
        </w:rPr>
        <w:t xml:space="preserve">e2e/pilot-golden.spec.ts</w:t>
      </w:r>
      <w:r>
        <w:t xml:space="preserve">.</w:t>
      </w:r>
    </w:p>
    <w:p>
      <w:pPr>
        <w:pStyle w:val="Heading3"/>
      </w:pPr>
      <w:bookmarkStart w:id="30" w:name="_c0c039d6e6aafdf880154b4859831005df163c1"/>
      <w:r>
        <w:t xml:space="preserve">C2. Target browser execution</w:t>
      </w:r>
    </w:p>
    <w:p>
      <w:pPr>
        <w:pStyle w:val="FirstParagraph"/>
      </w:pPr>
      <w:r>
        <w:t xml:space="preserve">From</w:t>
      </w:r>
      <w:r>
        <w:t xml:space="preserve"> </w:t>
      </w:r>
      <w:r>
        <w:rPr>
          <w:rStyle w:val="VerbatimChar"/>
        </w:rPr>
        <w:t xml:space="preserve">Abdo-Tec/hisn-frontend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git</w:t>
      </w:r>
      <w:r>
        <w:rPr>
          <w:rStyle w:val="NormalTok"/>
        </w:rPr>
        <w:t xml:space="preserve"> pull </w:t>
      </w:r>
      <w:r>
        <w:rPr>
          <w:rStyle w:val="AttributeTok"/>
        </w:rPr>
        <w:t xml:space="preserve">--ff-only</w:t>
      </w:r>
      <w:r>
        <w:rPr>
          <w:rStyle w:val="NormalTok"/>
        </w:rPr>
        <w:t xml:space="preserve"> origin main</w:t>
      </w:r>
      <w:r>
        <w:br/>
      </w:r>
      <w:r>
        <w:rPr>
          <w:rStyle w:val="ExtensionTok"/>
        </w:rPr>
        <w:t xml:space="preserve">npm</w:t>
      </w:r>
      <w:r>
        <w:rPr>
          <w:rStyle w:val="NormalTok"/>
        </w:rPr>
        <w:t xml:space="preserve"> ci</w:t>
      </w:r>
      <w:r>
        <w:br/>
      </w:r>
      <w:r>
        <w:rPr>
          <w:rStyle w:val="ExtensionTok"/>
        </w:rPr>
        <w:t xml:space="preserve">npm</w:t>
      </w:r>
      <w:r>
        <w:rPr>
          <w:rStyle w:val="NormalTok"/>
        </w:rPr>
        <w:t xml:space="preserve"> run verify</w:t>
      </w:r>
      <w:r>
        <w:br/>
      </w:r>
      <w:r>
        <w:rPr>
          <w:rStyle w:val="VariableTok"/>
        </w:rPr>
        <w:t xml:space="preserve">HISN_E2E_BASE_URL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"https://&lt;target-frontend-host&gt;"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VariableTok"/>
        </w:rPr>
        <w:t xml:space="preserve">HISN_E2E_USERNAME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"&lt;pilot-user&gt;"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VariableTok"/>
        </w:rPr>
        <w:t xml:space="preserve">HISN_E2E_PASSWORD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'&lt;pilot-password&gt;'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ExtensionTok"/>
        </w:rPr>
        <w:t xml:space="preserve">npx</w:t>
      </w:r>
      <w:r>
        <w:rPr>
          <w:rStyle w:val="NormalTok"/>
        </w:rPr>
        <w:t xml:space="preserve"> playwright test e2e/pilot-golden.spec.ts </w:t>
      </w:r>
      <w:r>
        <w:rPr>
          <w:rStyle w:val="AttributeTok"/>
        </w:rPr>
        <w:t xml:space="preserve">--project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chromium</w:t>
      </w:r>
    </w:p>
    <w:p>
      <w:pPr>
        <w:pStyle w:val="FirstParagraph"/>
      </w:pPr>
      <w:r>
        <w:t xml:space="preserve">Do not commit or paste the username/password into Git. The target browser suite contains unauthenticated protection checks plus authenticated navigation, shell actions, logout, and Golden Path surface checks.</w:t>
      </w:r>
    </w:p>
    <w:p>
      <w:pPr>
        <w:pStyle w:val="Heading3"/>
      </w:pPr>
      <w:bookmarkStart w:id="31" w:name="_8dc27f8205ec73b0c7d24de92a3c4a98e7de097"/>
      <w:r>
        <w:t xml:space="preserve">C3. Pilot evidence capture</w:t>
      </w:r>
    </w:p>
    <w:p>
      <w:pPr>
        <w:pStyle w:val="FirstParagraph"/>
      </w:pPr>
      <w:r>
        <w:t xml:space="preserve">For each controlled scenario retain:</w:t>
      </w:r>
    </w:p>
    <w:p>
      <w:pPr>
        <w:pStyle w:val="Compact"/>
        <w:numPr>
          <w:ilvl w:val="0"/>
          <w:numId w:val="1003"/>
        </w:numPr>
      </w:pPr>
      <w:r>
        <w:t xml:space="preserve">scenario ID;</w:t>
      </w:r>
    </w:p>
    <w:p>
      <w:pPr>
        <w:pStyle w:val="Compact"/>
        <w:numPr>
          <w:ilvl w:val="0"/>
          <w:numId w:val="1003"/>
        </w:numPr>
      </w:pPr>
      <w:r>
        <w:t xml:space="preserve">test data/reference;</w:t>
      </w:r>
    </w:p>
    <w:p>
      <w:pPr>
        <w:pStyle w:val="Compact"/>
        <w:numPr>
          <w:ilvl w:val="0"/>
          <w:numId w:val="1003"/>
        </w:numPr>
      </w:pPr>
      <w:r>
        <w:t xml:space="preserve">expected control objective;</w:t>
      </w:r>
    </w:p>
    <w:p>
      <w:pPr>
        <w:pStyle w:val="Compact"/>
        <w:numPr>
          <w:ilvl w:val="0"/>
          <w:numId w:val="1003"/>
        </w:numPr>
      </w:pPr>
      <w:r>
        <w:t xml:space="preserve">observed</w:t>
      </w:r>
      <w:r>
        <w:t xml:space="preserve"> </w:t>
      </w:r>
      <w:r>
        <w:rPr>
          <w:rStyle w:val="VerbatimChar"/>
        </w:rPr>
        <w:t xml:space="preserve">decision_id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engine outcomes;</w:t>
      </w:r>
    </w:p>
    <w:p>
      <w:pPr>
        <w:pStyle w:val="Compact"/>
        <w:numPr>
          <w:ilvl w:val="0"/>
          <w:numId w:val="1003"/>
        </w:numPr>
      </w:pPr>
      <w:r>
        <w:t xml:space="preserve">Evidence/DNA/Lifecycle/Case/Audit/Integrity references;</w:t>
      </w:r>
    </w:p>
    <w:p>
      <w:pPr>
        <w:pStyle w:val="Compact"/>
        <w:numPr>
          <w:ilvl w:val="0"/>
          <w:numId w:val="1003"/>
        </w:numPr>
      </w:pPr>
      <w:r>
        <w:t xml:space="preserve">exact target URL;</w:t>
      </w:r>
    </w:p>
    <w:p>
      <w:pPr>
        <w:pStyle w:val="Compact"/>
        <w:numPr>
          <w:ilvl w:val="0"/>
          <w:numId w:val="1003"/>
        </w:numPr>
      </w:pPr>
      <w:r>
        <w:t xml:space="preserve">exact backend + frontend commit SHAs;</w:t>
      </w:r>
    </w:p>
    <w:p>
      <w:pPr>
        <w:pStyle w:val="Compact"/>
        <w:numPr>
          <w:ilvl w:val="0"/>
          <w:numId w:val="1003"/>
        </w:numPr>
      </w:pPr>
      <w:r>
        <w:t xml:space="preserve">screenshot/video/Playwright report where useful;</w:t>
      </w:r>
    </w:p>
    <w:p>
      <w:pPr>
        <w:pStyle w:val="Compact"/>
        <w:numPr>
          <w:ilvl w:val="0"/>
          <w:numId w:val="1003"/>
        </w:numPr>
      </w:pPr>
      <w:r>
        <w:t xml:space="preserve">reviewer/date;</w:t>
      </w:r>
    </w:p>
    <w:p>
      <w:pPr>
        <w:pStyle w:val="Compact"/>
        <w:numPr>
          <w:ilvl w:val="0"/>
          <w:numId w:val="1003"/>
        </w:numPr>
      </w:pPr>
      <w:r>
        <w:t xml:space="preserve">exceptions and residual limitations.</w:t>
      </w:r>
    </w:p>
    <w:p>
      <w:pPr>
        <w:pStyle w:val="Heading3"/>
      </w:pPr>
      <w:bookmarkStart w:id="32" w:name="_de030fee52412a1f6ff0469972868f8aaada3fd"/>
      <w:r>
        <w:t xml:space="preserve">C4. Browser/API reconciliation</w:t>
      </w:r>
    </w:p>
    <w:p>
      <w:pPr>
        <w:pStyle w:val="FirstParagraph"/>
      </w:pPr>
      <w:r>
        <w:t xml:space="preserve">A browser pass is not sufficient unless the visible values reconcile to the canonical platform API. For one controlled decision, record:</w:t>
      </w:r>
    </w:p>
    <w:p>
      <w:pPr>
        <w:pStyle w:val="SourceCode"/>
      </w:pPr>
      <w:r>
        <w:rPr>
          <w:rStyle w:val="VerbatimChar"/>
        </w:rPr>
        <w:t xml:space="preserve">Frontend decision_id == Backend decision_id</w:t>
      </w:r>
      <w:r>
        <w:br/>
      </w:r>
      <w:r>
        <w:rPr>
          <w:rStyle w:val="VerbatimChar"/>
        </w:rPr>
        <w:t xml:space="preserve">Frontend engine set == Backend engines_used</w:t>
      </w:r>
      <w:r>
        <w:br/>
      </w:r>
      <w:r>
        <w:rPr>
          <w:rStyle w:val="VerbatimChar"/>
        </w:rPr>
        <w:t xml:space="preserve">Frontend decision == Backend decision/action</w:t>
      </w:r>
      <w:r>
        <w:br/>
      </w:r>
      <w:r>
        <w:rPr>
          <w:rStyle w:val="VerbatimChar"/>
        </w:rPr>
        <w:t xml:space="preserve">Frontend evidence references == Backend evidence references</w:t>
      </w:r>
      <w:r>
        <w:br/>
      </w:r>
      <w:r>
        <w:rPr>
          <w:rStyle w:val="VerbatimChar"/>
        </w:rPr>
        <w:t xml:space="preserve">Frontend audit/integrity references == Backend lineage</w:t>
      </w:r>
    </w:p>
    <w:p>
      <w:pPr>
        <w:pStyle w:val="FirstParagraph"/>
      </w:pPr>
      <w:r>
        <w:t xml:space="preserve">Any mismatch is a release-blocking defect until resolved.</w:t>
      </w:r>
    </w:p>
    <w:p>
      <w:pPr>
        <w:pStyle w:val="Heading3"/>
      </w:pPr>
      <w:bookmarkStart w:id="33" w:name="_d5e02909ee7b1a290331cb24e2078b9d8a7b1d8"/>
      <w:r>
        <w:t xml:space="preserve">C5. Pilot gate closure</w:t>
      </w:r>
    </w:p>
    <w:p>
      <w:pPr>
        <w:pStyle w:val="FirstParagraph"/>
      </w:pPr>
      <w:r>
        <w:rPr>
          <w:b/>
          <w:bCs/>
        </w:rPr>
        <w:t xml:space="preserve">Gate C closes only when</w:t>
      </w:r>
      <w:r>
        <w:t xml:space="preserve"> </w:t>
      </w:r>
      <w:r>
        <w:t xml:space="preserve">the required target scenarios pass in the browser, the UI/API values reconcile, lineage is preserved, and a reviewer accepts the evidence package.</w:t>
      </w:r>
    </w:p>
    <w:p>
      <w:pPr>
        <w:pStyle w:val="Heading2"/>
      </w:pPr>
      <w:bookmarkStart w:id="34" w:name="_80ae0031e3a6b58e4e7d0851daf5854e940da34"/>
      <w:r>
        <w:t xml:space="preserve">CI handling for 2026-08-31</w:t>
      </w:r>
    </w:p>
    <w:p>
      <w:pPr>
        <w:pStyle w:val="FirstParagraph"/>
      </w:pPr>
      <w:r>
        <w:t xml:space="preserve">CI is intentionally</w:t>
      </w:r>
      <w:r>
        <w:t xml:space="preserve"> </w:t>
      </w:r>
      <w:r>
        <w:rPr>
          <w:b/>
          <w:bCs/>
        </w:rPr>
        <w:t xml:space="preserve">not being reclassified or forced green today</w:t>
      </w:r>
      <w:r>
        <w:t xml:space="preserve">. Any GitHub Actions billing/spending restriction remains</w:t>
      </w:r>
      <w:r>
        <w:t xml:space="preserve"> </w:t>
      </w:r>
      <w:r>
        <w:rPr>
          <w:rStyle w:val="VerbatimChar"/>
        </w:rPr>
        <w:t xml:space="preserve">OPEN / EXTERNAL</w:t>
      </w:r>
      <w:r>
        <w:t xml:space="preserve"> </w:t>
      </w:r>
      <w:r>
        <w:t xml:space="preserve">until the account restriction is resolved and a fresh run is observed.</w:t>
      </w:r>
    </w:p>
    <w:p>
      <w:pPr>
        <w:pStyle w:val="Heading2"/>
      </w:pPr>
      <w:bookmarkStart w:id="35" w:name="_d252fba9fb72ba0a30f29cd1be336f8f0bcb09c"/>
      <w:r>
        <w:t xml:space="preserve">Final evidence package</w:t>
      </w:r>
    </w:p>
    <w:p>
      <w:pPr>
        <w:pStyle w:val="SourceCode"/>
      </w:pPr>
      <w:r>
        <w:rPr>
          <w:rStyle w:val="VerbatimChar"/>
        </w:rPr>
        <w:t xml:space="preserve">01_CURRENT_TRUTH_INDEX</w:t>
      </w:r>
      <w:r>
        <w:br/>
      </w:r>
      <w:r>
        <w:rPr>
          <w:rStyle w:val="VerbatimChar"/>
        </w:rPr>
        <w:t xml:space="preserve">02_TE_VR</w:t>
      </w:r>
      <w:r>
        <w:br/>
      </w:r>
      <w:r>
        <w:rPr>
          <w:rStyle w:val="VerbatimChar"/>
        </w:rPr>
        <w:t xml:space="preserve">03_SECURITY_ASSURANCE_REGISTER</w:t>
      </w:r>
      <w:r>
        <w:br/>
      </w:r>
      <w:r>
        <w:rPr>
          <w:rStyle w:val="VerbatimChar"/>
        </w:rPr>
        <w:t xml:space="preserve">04_PRODUCTION_READINESS_REGISTER</w:t>
      </w:r>
      <w:r>
        <w:br/>
      </w:r>
      <w:r>
        <w:rPr>
          <w:rStyle w:val="VerbatimChar"/>
        </w:rPr>
        <w:t xml:space="preserve">05_PILOT_E2E_ACCEPTANCE_REGISTER</w:t>
      </w:r>
      <w:r>
        <w:br/>
      </w:r>
      <w:r>
        <w:rPr>
          <w:rStyle w:val="VerbatimChar"/>
        </w:rPr>
        <w:t xml:space="preserve">06_LOCAL_ASSURANCE_EVIDENCE_ARTIFACTS</w:t>
      </w:r>
      <w:r>
        <w:br/>
      </w:r>
      <w:r>
        <w:rPr>
          <w:rStyle w:val="VerbatimChar"/>
        </w:rPr>
        <w:t xml:space="preserve">07_DEPLOYMENT_AND_RELEASE_PROVENANCE</w:t>
      </w:r>
      <w:r>
        <w:br/>
      </w:r>
      <w:r>
        <w:rPr>
          <w:rStyle w:val="VerbatimChar"/>
        </w:rPr>
        <w:t xml:space="preserve">08_SECURITY_ASSESSMENT</w:t>
      </w:r>
      <w:r>
        <w:br/>
      </w:r>
      <w:r>
        <w:rPr>
          <w:rStyle w:val="VerbatimChar"/>
        </w:rPr>
        <w:t xml:space="preserve">09_BACKUP_RESTORE_AND_ROLLBACK_EVIDENCE</w:t>
      </w:r>
      <w:r>
        <w:br/>
      </w:r>
      <w:r>
        <w:rPr>
          <w:rStyle w:val="VerbatimChar"/>
        </w:rPr>
        <w:t xml:space="preserve">10_TARGET_ENVIRONMENT_EVIDENCE</w:t>
      </w:r>
      <w:r>
        <w:br/>
      </w:r>
      <w:r>
        <w:rPr>
          <w:rStyle w:val="VerbatimChar"/>
        </w:rPr>
        <w:t xml:space="preserve">11_BROWSER_PILOT_ACCEPTANCE</w:t>
      </w:r>
      <w:r>
        <w:br/>
      </w:r>
      <w:r>
        <w:rPr>
          <w:rStyle w:val="VerbatimChar"/>
        </w:rPr>
        <w:t xml:space="preserve">12_CI_RELEASE_EVIDENCE</w:t>
      </w:r>
    </w:p>
    <w:p>
      <w:pPr>
        <w:pStyle w:val="Heading2"/>
      </w:pPr>
      <w:bookmarkStart w:id="36" w:name="_7ba821b8fdcd5d7cf6495f8d0fd2560d8ced6f4"/>
      <w:r>
        <w:t xml:space="preserve">Gate terminology</w:t>
      </w:r>
    </w:p>
    <w:p>
      <w:pPr>
        <w:pStyle w:val="FirstParagraph"/>
      </w:pPr>
      <w:r>
        <w:t xml:space="preserve">Use only these states: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VERIFIED</w:t>
      </w:r>
      <w:r>
        <w:t xml:space="preserve"> </w:t>
      </w:r>
      <w:r>
        <w:t xml:space="preserve">— evidence exists and is reproducible.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PARTIAL</w:t>
      </w:r>
      <w:r>
        <w:t xml:space="preserve"> </w:t>
      </w:r>
      <w:r>
        <w:t xml:space="preserve">— some required evidence exists, but a closure condition remains.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OPEN</w:t>
      </w:r>
      <w:r>
        <w:t xml:space="preserve"> </w:t>
      </w:r>
      <w:r>
        <w:t xml:space="preserve">— required evidence is absent.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BLOCKED</w:t>
      </w:r>
      <w:r>
        <w:t xml:space="preserve"> </w:t>
      </w:r>
      <w:r>
        <w:t xml:space="preserve">— execution is prevented by an external dependency; this must not be described as a code defect without supporting evidence.</w:t>
      </w:r>
    </w:p>
    <w:p>
      <w:pPr>
        <w:pStyle w:val="Heading2"/>
      </w:pPr>
      <w:bookmarkStart w:id="37" w:name="_a0a714ffa395fb0eecf22ba1e4fb05b8aef4d43"/>
      <w:r>
        <w:t xml:space="preserve">Non-claims</w:t>
      </w:r>
    </w:p>
    <w:p>
      <w:pPr>
        <w:pStyle w:val="FirstParagraph"/>
      </w:pPr>
      <w:r>
        <w:t xml:space="preserve">Completion of this runbook does not by itself imply regulatory approval, SAMA/CMA certification, penetration-test certification, independent audit opinion, or customer acceptance unless those specific artifacts exist and are dated.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Technology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HISN ASSURANCE EXECUTION RUNBOOK 2026-08-31</dc:title>
  <dc:creator>HISN Platform</dc:creator>
  <cp:keywords>HISN, FCDOS, financial crime, decision operating system</cp:keywords>
  <dcterms:created xsi:type="dcterms:W3CDTF">2026-10-13T12:56:50Z</dcterms:created>
  <dcterms:modified xsi:type="dcterms:W3CDTF">2026-10-13T12:56:50Z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