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b10ee712e937c682572b5b1b1a0b204ff17c54"/>
      <w:r>
        <w:t xml:space="preserve">HISN Platform — CTO / Big-4 Technical Handoff</w:t>
      </w:r>
    </w:p>
    <w:p>
      <w:pPr>
        <w:pStyle w:val="Heading2"/>
      </w:pPr>
      <w:bookmarkStart w:id="10" w:name="_a469b17fb69932dd68aea028ca9863dc8da5d8c"/>
      <w:r>
        <w:t xml:space="preserve">Current Repository Truth — 2026-10-03</w:t>
      </w:r>
    </w:p>
    <w:p>
      <w:pPr>
        <w:pStyle w:val="FirstParagraph"/>
      </w:pPr>
      <w:r>
        <w:t xml:space="preserve">Repository: Abdo-Tec/hisn-platform</w:t>
      </w:r>
      <w:r>
        <w:t xml:space="preserve"> </w:t>
      </w:r>
      <w:r>
        <w:t xml:space="preserve">Current HEAD: bb4f3f115e74e987e8d158137a21aa343c05920f</w:t>
      </w:r>
      <w:r>
        <w:t xml:space="preserve"> </w:t>
      </w:r>
      <w:r>
        <w:t xml:space="preserve">Exact execution SHA: ae0d61a7c99f432f009a19c22a77e3d8335e028c</w:t>
      </w:r>
      <w:r>
        <w:t xml:space="preserve"> </w:t>
      </w:r>
      <w:r>
        <w:t xml:space="preserve">Role: Executable Decision Runtime / Evidence / Decision DNA / Audit / Persistence / Security</w:t>
      </w:r>
    </w:p>
    <w:p>
      <w:pPr>
        <w:pStyle w:val="Heading2"/>
      </w:pPr>
      <w:bookmarkStart w:id="11" w:name="_authority"/>
      <w:r>
        <w:t xml:space="preserve">Authority</w:t>
      </w:r>
    </w:p>
    <w:p>
      <w:pPr>
        <w:pStyle w:val="FirstParagraph"/>
      </w:pPr>
      <w:r>
        <w:t xml:space="preserve">The Architecture Bible owns cross-repository intent, objectives, governance, and regulatory meaning. Platform owns executable implementation truth for its runtime concerns.</w:t>
      </w:r>
    </w:p>
    <w:p>
      <w:pPr>
        <w:pStyle w:val="Heading2"/>
      </w:pPr>
      <w:bookmarkStart w:id="12" w:name="_5d98ca2308cf60d6ca2cbc0b190f642340a630c"/>
      <w:r>
        <w:t xml:space="preserve">Current runtime structure</w:t>
      </w:r>
    </w:p>
    <w:p>
      <w:pPr>
        <w:pStyle w:val="FirstParagraph"/>
      </w:pPr>
      <w:r>
        <w:t xml:space="preserve">src/core/ = primitives, contracts, runtime, registries, evidence/audit foundations</w:t>
      </w:r>
      <w:r>
        <w:t xml:space="preserve"> </w:t>
      </w:r>
      <w:r>
        <w:t xml:space="preserve">src/domains/ = business-domain semantics</w:t>
      </w:r>
      <w:r>
        <w:t xml:space="preserve"> </w:t>
      </w:r>
      <w:r>
        <w:t xml:space="preserve">src/engines/ = DecisionEngine wrappers</w:t>
      </w:r>
      <w:r>
        <w:t xml:space="preserve"> </w:t>
      </w:r>
      <w:r>
        <w:t xml:space="preserve">src/platform/ = cross-domain runtime support</w:t>
      </w:r>
      <w:r>
        <w:t xml:space="preserve"> </w:t>
      </w:r>
      <w:r>
        <w:t xml:space="preserve">src/api/ = HTTP boundary</w:t>
      </w:r>
      <w:r>
        <w:t xml:space="preserve"> </w:t>
      </w:r>
      <w:r>
        <w:t xml:space="preserve">src/bootstrap/ = composition root</w:t>
      </w:r>
    </w:p>
    <w:p>
      <w:pPr>
        <w:pStyle w:val="BodyText"/>
      </w:pPr>
      <w:r>
        <w:t xml:space="preserve">Registered DecisionEngine authority: AML, Fraud, Sanctions, KYC, KYB, Graph.</w:t>
      </w:r>
      <w:r>
        <w:t xml:space="preserve"> </w:t>
      </w:r>
      <w:r>
        <w:t xml:space="preserve">Explicit composition remains the runtime authority; filesystem manifests are not the canonical registration mechanism.</w:t>
      </w:r>
    </w:p>
    <w:p>
      <w:pPr>
        <w:pStyle w:val="Heading2"/>
      </w:pPr>
      <w:bookmarkStart w:id="13" w:name="_aa5cd910ea8bc1eda5450ad1915ada9a91e90a5"/>
      <w:r>
        <w:t xml:space="preserve">Identity Foundation</w:t>
      </w:r>
    </w:p>
    <w:p>
      <w:pPr>
        <w:pStyle w:val="FirstParagraph"/>
      </w:pPr>
      <w:r>
        <w:t xml:space="preserve">Canonical primitives: Party, IdentityFact, VerificationAttempt, PartyRelationship, EvidenceReference.</w:t>
      </w:r>
      <w:r>
        <w:t xml:space="preserve"> </w:t>
      </w:r>
      <w:r>
        <w:t xml:space="preserve">Current classification: FOUNDATION / ACTIVATION CONTINUES.</w:t>
      </w:r>
      <w:r>
        <w:t xml:space="preserve"> </w:t>
      </w:r>
      <w:r>
        <w:t xml:space="preserve">Legacy KYC/KYB/UBO surfaces remain separate until controlled reconciliation and cutover are proven.</w:t>
      </w:r>
    </w:p>
    <w:p>
      <w:pPr>
        <w:pStyle w:val="Heading2"/>
      </w:pPr>
      <w:bookmarkStart w:id="14" w:name="_evidence"/>
      <w:r>
        <w:t xml:space="preserve">Evidence</w:t>
      </w:r>
    </w:p>
    <w:p>
      <w:pPr>
        <w:pStyle w:val="FirstParagraph"/>
      </w:pPr>
      <w:r>
        <w:t xml:space="preserve">Current runtime execution evidence: 882 tests collected / 882 passed / 0 failed / 0 errors in 68.64s on execution SHA ae0d61a7c99f432f009a19c22a77e3d8335e028c. Current main is bb4f3f115e74e987e8d158137a21aa343c05920f with documentation/assurance-only changes after that execution.</w:t>
      </w:r>
    </w:p>
    <w:p>
      <w:pPr>
        <w:pStyle w:val="BodyText"/>
      </w:pPr>
      <w:r>
        <w:t xml:space="preserve">Required before current release certification: run the canonical terminal assurance gate on the exact candidate SHA and archive the receipt.</w:t>
      </w:r>
    </w:p>
    <w:p>
      <w:pPr>
        <w:pStyle w:val="Heading2"/>
      </w:pPr>
      <w:bookmarkStart w:id="15" w:name="_security"/>
      <w:r>
        <w:t xml:space="preserve">Security</w:t>
      </w:r>
    </w:p>
    <w:p>
      <w:pPr>
        <w:pStyle w:val="FirstParagraph"/>
      </w:pPr>
      <w:r>
        <w:t xml:space="preserve">Historical controls include authentication integrity, tenant isolation/RLS, idempotency, configuration hardening, non-root runtime, and supply-chain controls. Remaining environment-gated or operational controls must stay classified as open until exact evidence exists.</w:t>
      </w:r>
    </w:p>
    <w:p>
      <w:pPr>
        <w:pStyle w:val="Heading2"/>
      </w:pPr>
      <w:bookmarkStart w:id="16" w:name="_e3cfbb36075663496feba202e03013b52896ac5"/>
      <w:r>
        <w:t xml:space="preserve">Diligence entry points</w:t>
      </w:r>
    </w:p>
    <w:p>
      <w:pPr>
        <w:pStyle w:val="FirstParagraph"/>
      </w:pPr>
      <w:r>
        <w:t xml:space="preserve">docs/verification/CURRENT_TRUTH_INDEX.md</w:t>
      </w:r>
      <w:r>
        <w:t xml:space="preserve"> </w:t>
      </w:r>
      <w:r>
        <w:t xml:space="preserve">docs/foundation/00_HISN_FOUNDATION_CHARTER.md</w:t>
      </w:r>
      <w:r>
        <w:t xml:space="preserve"> </w:t>
      </w:r>
      <w:r>
        <w:t xml:space="preserve">docs/foundation/01_FOUNDATION_SPINE.md</w:t>
      </w:r>
      <w:r>
        <w:t xml:space="preserve"> </w:t>
      </w:r>
      <w:r>
        <w:t xml:space="preserve">docs/foundation/identity/02_IDENTITY_FOUNDATION_SPEC.md</w:t>
      </w:r>
      <w:r>
        <w:t xml:space="preserve"> </w:t>
      </w:r>
      <w:r>
        <w:t xml:space="preserve">docs/foundation/identity/03_IDENTITY_LIFECYCLE.md</w:t>
      </w:r>
      <w:r>
        <w:t xml:space="preserve"> </w:t>
      </w:r>
      <w:r>
        <w:t xml:space="preserve">docs/foundation/identity/04_IDENTITY_EVIDENCE_PROVENANCE.md</w:t>
      </w:r>
      <w:r>
        <w:t xml:space="preserve"> </w:t>
      </w:r>
      <w:r>
        <w:t xml:space="preserve">docs/foundation/identity/05_IDENTITY_RESOLUTION.md</w:t>
      </w:r>
      <w:r>
        <w:t xml:space="preserve"> </w:t>
      </w:r>
      <w:r>
        <w:t xml:space="preserve">docs/foundation/identity/06_KYC_KYB_UBO_BOUNDARY.md</w:t>
      </w:r>
      <w:r>
        <w:t xml:space="preserve"> </w:t>
      </w:r>
      <w:r>
        <w:t xml:space="preserve">docs/foundation/identity/07_IDENTITY_FOUNDATION_CODE_GATE.md</w:t>
      </w:r>
      <w:r>
        <w:t xml:space="preserve"> </w:t>
      </w:r>
      <w:r>
        <w:t xml:space="preserve">docs/assurance/</w:t>
      </w:r>
      <w:r>
        <w:t xml:space="preserve"> </w:t>
      </w:r>
      <w:r>
        <w:t xml:space="preserve">docs/security/</w:t>
      </w:r>
      <w:r>
        <w:t xml:space="preserve"> </w:t>
      </w:r>
      <w:r>
        <w:t xml:space="preserve">tests/test_e2e_transparent_golden_path.py</w:t>
      </w:r>
    </w:p>
    <w:p>
      <w:pPr>
        <w:pStyle w:val="BodyText"/>
      </w:pPr>
      <w:r>
        <w:t xml:space="preserve">Non-claims: no production certification, independent security certification, regulatory approval, full Identity migration, or fresh current-head executable assurance.</w:t>
      </w:r>
    </w:p>
    <w:p>
      <w:pPr>
        <w:pStyle w:val="BodyText"/>
      </w:pPr>
      <w:r>
        <w:t xml:space="preserve">The current Platform documentation is at</w:t>
      </w:r>
      <w:r>
        <w:t xml:space="preserve"> </w:t>
      </w:r>
      <w:r>
        <w:rPr>
          <w:rStyle w:val="VerbatimChar"/>
        </w:rPr>
        <w:t xml:space="preserve">bb4f3f115e74e987e8d158137a21aa343c05920f</w:t>
      </w:r>
      <w:r>
        <w:t xml:space="preserve">; current runtime execution evidence is bound to</w:t>
      </w:r>
      <w:r>
        <w:t xml:space="preserve"> </w:t>
      </w:r>
      <w:r>
        <w:rPr>
          <w:rStyle w:val="VerbatimChar"/>
        </w:rPr>
        <w:t xml:space="preserve">ae0d61a7c99f432f009a19c22a77e3d8335e028c</w:t>
      </w:r>
      <w:r>
        <w:t xml:space="preserve">.</w:t>
      </w:r>
    </w:p>
    <w:p>
      <w:pPr>
        <w:pStyle w:val="BodyText"/>
      </w:pPr>
      <w:r>
        <w:t xml:space="preserve">The exact execution SHA test count is</w:t>
      </w:r>
      <w:r>
        <w:t xml:space="preserve"> </w:t>
      </w:r>
      <w:r>
        <w:rPr>
          <w:b/>
          <w:bCs/>
        </w:rPr>
        <w:t xml:space="preserve">VERIFIED</w:t>
      </w:r>
      <w:r>
        <w:t xml:space="preserve">: 882 collected / 882 passed / 0 failed / 0 errors on</w:t>
      </w:r>
      <w:r>
        <w:t xml:space="preserve"> </w:t>
      </w:r>
      <w:r>
        <w:rPr>
          <w:rStyle w:val="VerbatimChar"/>
        </w:rPr>
        <w:t xml:space="preserve">ae0d61a7c99f432f009a19c22a77e3d8335e028c</w:t>
      </w:r>
      <w:r>
        <w:t xml:space="preserve">. The</w:t>
      </w:r>
      <w:r>
        <w:t xml:space="preserve"> </w:t>
      </w:r>
      <w:r>
        <w:rPr>
          <w:b/>
          <w:bCs/>
        </w:rPr>
        <w:t xml:space="preserve">900-test figure remains UNVERIFIED</w:t>
      </w:r>
      <w:r>
        <w:t xml:space="preserve"> </w:t>
      </w:r>
      <w:r>
        <w:t xml:space="preserve">and must not be presented.</w:t>
      </w:r>
    </w:p>
    <w:p>
      <w:pPr>
        <w:pStyle w:val="BodyText"/>
      </w:pPr>
      <w:r>
        <w:t xml:space="preserve">The exact-head verification is now CLOSED for the reviewed Platform candidate.</w:t>
      </w:r>
    </w:p>
    <w:p>
      <w:pPr>
        <w:pStyle w:val="BodyText"/>
      </w:pPr>
      <w:r>
        <w:t xml:space="preserve">Executed SHA:</w:t>
      </w:r>
      <w:r>
        <w:t xml:space="preserve"> </w:t>
      </w:r>
      <w:r>
        <w:rPr>
          <w:rStyle w:val="VerbatimChar"/>
        </w:rPr>
        <w:t xml:space="preserve">4eb74f70c83094c376bde9ca0acba0d164cb249e</w:t>
      </w:r>
      <w:r>
        <w:t xml:space="preserve"> </w:t>
      </w:r>
      <w:r>
        <w:t xml:space="preserve">- 882 tests collected</w:t>
      </w:r>
      <w:r>
        <w:t xml:space="preserve"> </w:t>
      </w:r>
      <w:r>
        <w:t xml:space="preserve">- 882 passed</w:t>
      </w:r>
      <w:r>
        <w:t xml:space="preserve"> </w:t>
      </w:r>
      <w:r>
        <w:t xml:space="preserve">- 0 failed</w:t>
      </w:r>
      <w:r>
        <w:t xml:space="preserve"> </w:t>
      </w:r>
      <w:r>
        <w:t xml:space="preserve">- 0 errors</w:t>
      </w:r>
      <w:r>
        <w:t xml:space="preserve"> </w:t>
      </w:r>
      <w:r>
        <w:t xml:space="preserve">- 73.00s</w:t>
      </w:r>
    </w:p>
    <w:p>
      <w:pPr>
        <w:pStyle w:val="BodyText"/>
      </w:pPr>
      <w:r>
        <w:t xml:space="preserve">The previously noted 900-test figure is superseded. The verified exact count is</w:t>
      </w:r>
      <w:r>
        <w:t xml:space="preserve"> </w:t>
      </w:r>
      <w:r>
        <w:rPr>
          <w:b/>
          <w:bCs/>
        </w:rPr>
        <w:t xml:space="preserve">882</w:t>
      </w:r>
      <w:r>
        <w:t xml:space="preserve"> </w:t>
      </w:r>
      <w:r>
        <w:t xml:space="preserve">for this candidate SHA. Evidence remains SHA-bound; later runtime/source changes require a new run.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CTO HANDOFF 2026-10-03</dc:title>
  <dc:creator>HISN Platform</dc:creator>
  <cp:keywords>HISN, FCDOS, financial crime, decision operating system</cp:keywords>
  <dcterms:created xsi:type="dcterms:W3CDTF">2026-10-13T12:56:51Z</dcterms:created>
  <dcterms:modified xsi:type="dcterms:W3CDTF">2026-10-13T12:56:51Z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