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68409bc3c6b9f9f00187bfbacadd483d1a8b278"/>
      <w:r>
        <w:t xml:space="preserve">HISN — Current Architecture Truth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2026-10-02</w:t>
      </w:r>
      <w:r>
        <w:t xml:space="preserve"> </w:t>
      </w:r>
      <w:r>
        <w:rPr>
          <w:b/>
          <w:bCs/>
        </w:rPr>
        <w:t xml:space="preserve">Current main:</w:t>
      </w:r>
      <w:r>
        <w:t xml:space="preserve"> </w:t>
      </w:r>
      <w:r>
        <w:rPr>
          <w:rStyle w:val="VerbatimChar"/>
        </w:rPr>
        <w:t xml:space="preserve">c6f72faf0c9c306c58fbcac6b4609f787fcb2c55</w:t>
      </w:r>
      <w:r>
        <w:t xml:space="preserve"> </w:t>
      </w:r>
      <w:r>
        <w:rPr>
          <w:b/>
          <w:bCs/>
        </w:rPr>
        <w:t xml:space="preserve">Authority:</w:t>
      </w:r>
      <w:r>
        <w:t xml:space="preserve"> </w:t>
      </w:r>
      <w:r>
        <w:t xml:space="preserve">current repository composition + canonical capability activation registry</w:t>
      </w:r>
      <w:r>
        <w:t xml:space="preserve"> </w:t>
      </w:r>
      <w:r>
        <w:rPr>
          <w:b/>
          <w:bCs/>
        </w:rPr>
        <w:t xml:space="preserve">Purpose:</w:t>
      </w:r>
      <w:r>
        <w:t xml:space="preserve"> </w:t>
      </w:r>
      <w:r>
        <w:t xml:space="preserve">describe the architecture that exists now, not the historical target state.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eb13fa6d84488a78dc3bc0b8e5079ae9b09b931"/>
      <w:r>
        <w:t xml:space="preserve">1. Architecture rule</w:t>
      </w:r>
    </w:p>
    <w:p>
      <w:pPr>
        <w:pStyle w:val="FirstParagraph"/>
      </w:pPr>
      <w:r>
        <w:t xml:space="preserve">HISN is modeled as one platform with explicit authority boundaries.</w:t>
      </w:r>
    </w:p>
    <w:p>
      <w:pPr>
        <w:pStyle w:val="BodyText"/>
      </w:pPr>
      <w:r>
        <w:t xml:space="preserve">The number of engines, capabilities, services, repositories, adapters, or support modules is not itself a design constraint.</w:t>
      </w:r>
    </w:p>
    <w:p>
      <w:pPr>
        <w:pStyle w:val="BodyText"/>
      </w:pPr>
      <w:r>
        <w:t xml:space="preserve">The invariant is:</w:t>
      </w:r>
    </w:p>
    <w:p>
      <w:pPr>
        <w:pStyle w:val="BlockText"/>
      </w:pPr>
      <w:r>
        <w:rPr>
          <w:b/>
          <w:bCs/>
        </w:rPr>
        <w:t xml:space="preserve">Every discovered active business capability has an explicit semantic home and an explicit place in the current architecture. Legacy/history may remain in the repository, but it is not an execution authority unless explicitly composed.</w:t>
      </w:r>
    </w:p>
    <w:p>
      <w:pPr>
        <w:pStyle w:val="FirstParagraph"/>
      </w:pPr>
      <w:r>
        <w:t xml:space="preserve">A capability is not considered bank-grade merely because it is registered as ACTIVE. Production/provider/evidence readiness remains a separate proof gate.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1" w:name="_2b4fa1a267e3ef132edbba1304e86666a7a35ce"/>
      <w:r>
        <w:t xml:space="preserve">2. Current architecture shape</w:t>
      </w:r>
    </w:p>
    <w:p>
      <w:pPr>
        <w:pStyle w:val="SourceCode"/>
      </w:pPr>
      <w:r>
        <w:rPr>
          <w:rStyle w:val="VerbatimChar"/>
        </w:rPr>
        <w:t xml:space="preserve">                    HISN CURRENT PLATFORM</w:t>
      </w:r>
      <w:r>
        <w:br/>
      </w:r>
      <w:r>
        <w:rPr>
          <w:rStyle w:val="VerbatimChar"/>
        </w:rPr>
        <w:t xml:space="preserve">                            |</w:t>
      </w:r>
      <w:r>
        <w:br/>
      </w:r>
      <w:r>
        <w:rPr>
          <w:rStyle w:val="VerbatimChar"/>
        </w:rPr>
        <w:t xml:space="preserve">                ARCHITECTURE / GOVERNANCE</w:t>
      </w:r>
      <w:r>
        <w:br/>
      </w:r>
      <w:r>
        <w:rPr>
          <w:rStyle w:val="VerbatimChar"/>
        </w:rPr>
        <w:t xml:space="preserve">                            |</w:t>
      </w:r>
      <w:r>
        <w:br/>
      </w:r>
      <w:r>
        <w:rPr>
          <w:rStyle w:val="VerbatimChar"/>
        </w:rPr>
        <w:t xml:space="preserve">                +-----------+-----------+</w:t>
      </w:r>
      <w:r>
        <w:br/>
      </w:r>
      <w:r>
        <w:rPr>
          <w:rStyle w:val="VerbatimChar"/>
        </w:rPr>
        <w:t xml:space="preserve">                |                       |</w:t>
      </w:r>
      <w:r>
        <w:br/>
      </w:r>
      <w:r>
        <w:rPr>
          <w:rStyle w:val="VerbatimChar"/>
        </w:rPr>
        <w:t xml:space="preserve">          Core / Control          Domains / Business</w:t>
      </w:r>
      <w:r>
        <w:br/>
      </w:r>
      <w:r>
        <w:rPr>
          <w:rStyle w:val="VerbatimChar"/>
        </w:rPr>
        <w:t xml:space="preserve">                |                       |</w:t>
      </w:r>
      <w:r>
        <w:br/>
      </w:r>
      <w:r>
        <w:rPr>
          <w:rStyle w:val="VerbatimChar"/>
        </w:rPr>
        <w:t xml:space="preserve">     contracts · runtime           KYC · KYB · AML</w:t>
      </w:r>
      <w:r>
        <w:br/>
      </w:r>
      <w:r>
        <w:rPr>
          <w:rStyle w:val="VerbatimChar"/>
        </w:rPr>
        <w:t xml:space="preserve">     registry · audit              Fraud · PEP</w:t>
      </w:r>
      <w:r>
        <w:br/>
      </w:r>
      <w:r>
        <w:rPr>
          <w:rStyle w:val="VerbatimChar"/>
        </w:rPr>
        <w:t xml:space="preserve">     policy · identity             Sanctions · Decision</w:t>
      </w:r>
      <w:r>
        <w:br/>
      </w:r>
      <w:r>
        <w:rPr>
          <w:rStyle w:val="VerbatimChar"/>
        </w:rPr>
        <w:t xml:space="preserve">                |                   Screening · Case</w:t>
      </w:r>
      <w:r>
        <w:br/>
      </w:r>
      <w:r>
        <w:rPr>
          <w:rStyle w:val="VerbatimChar"/>
        </w:rPr>
        <w:t xml:space="preserve">                +----------+----------+</w:t>
      </w:r>
      <w:r>
        <w:br/>
      </w:r>
      <w:r>
        <w:rPr>
          <w:rStyle w:val="VerbatimChar"/>
        </w:rPr>
        <w:t xml:space="preserve">                           |</w:t>
      </w:r>
      <w:r>
        <w:br/>
      </w:r>
      <w:r>
        <w:rPr>
          <w:rStyle w:val="VerbatimChar"/>
        </w:rPr>
        <w:t xml:space="preserve">                    Decision Engines</w:t>
      </w:r>
      <w:r>
        <w:br/>
      </w:r>
      <w:r>
        <w:rPr>
          <w:rStyle w:val="VerbatimChar"/>
        </w:rPr>
        <w:t xml:space="preserve">                           |</w:t>
      </w:r>
      <w:r>
        <w:br/>
      </w:r>
      <w:r>
        <w:rPr>
          <w:rStyle w:val="VerbatimChar"/>
        </w:rPr>
        <w:t xml:space="preserve">        +------------------+------------------+</w:t>
      </w:r>
      <w:r>
        <w:br/>
      </w:r>
      <w:r>
        <w:rPr>
          <w:rStyle w:val="VerbatimChar"/>
        </w:rPr>
        <w:t xml:space="preserve">        |       |        |       |      |     |</w:t>
      </w:r>
      <w:r>
        <w:br/>
      </w:r>
      <w:r>
        <w:rPr>
          <w:rStyle w:val="VerbatimChar"/>
        </w:rPr>
        <w:t xml:space="preserve">       AML    Fraud  Sanctions   KYC    KYB  Graph</w:t>
      </w:r>
      <w:r>
        <w:br/>
      </w:r>
      <w:r>
        <w:rPr>
          <w:rStyle w:val="VerbatimChar"/>
        </w:rPr>
        <w:t xml:space="preserve">        |       |        |       |      |     |</w:t>
      </w:r>
      <w:r>
        <w:br/>
      </w:r>
      <w:r>
        <w:rPr>
          <w:rStyle w:val="VerbatimChar"/>
        </w:rPr>
        <w:t xml:space="preserve">        +------------------+------------------+</w:t>
      </w:r>
      <w:r>
        <w:br/>
      </w:r>
      <w:r>
        <w:rPr>
          <w:rStyle w:val="VerbatimChar"/>
        </w:rPr>
        <w:t xml:space="preserve">                           |</w:t>
      </w:r>
      <w:r>
        <w:br/>
      </w:r>
      <w:r>
        <w:rPr>
          <w:rStyle w:val="VerbatimChar"/>
        </w:rPr>
        <w:t xml:space="preserve">                  Platform Intelligence</w:t>
      </w:r>
      <w:r>
        <w:br/>
      </w:r>
      <w:r>
        <w:rPr>
          <w:rStyle w:val="VerbatimChar"/>
        </w:rPr>
        <w:t xml:space="preserve">                           |</w:t>
      </w:r>
      <w:r>
        <w:br/>
      </w:r>
      <w:r>
        <w:rPr>
          <w:rStyle w:val="VerbatimChar"/>
        </w:rPr>
        <w:t xml:space="preserve">       +-------------------+----------------------+</w:t>
      </w:r>
      <w:r>
        <w:br/>
      </w:r>
      <w:r>
        <w:rPr>
          <w:rStyle w:val="VerbatimChar"/>
        </w:rPr>
        <w:t xml:space="preserve">       |                   |                      |</w:t>
      </w:r>
      <w:r>
        <w:br/>
      </w:r>
      <w:r>
        <w:rPr>
          <w:rStyle w:val="VerbatimChar"/>
        </w:rPr>
        <w:t xml:space="preserve">  Intelligence       Compliance/Regulatory   Executive/Ops</w:t>
      </w:r>
      <w:r>
        <w:br/>
      </w:r>
      <w:r>
        <w:rPr>
          <w:rStyle w:val="VerbatimChar"/>
        </w:rPr>
        <w:t xml:space="preserve">       |                   |                      |</w:t>
      </w:r>
      <w:r>
        <w:br/>
      </w:r>
      <w:r>
        <w:rPr>
          <w:rStyle w:val="VerbatimChar"/>
        </w:rPr>
        <w:t xml:space="preserve"> Financial DNA        Screening               Advisor</w:t>
      </w:r>
      <w:r>
        <w:br/>
      </w:r>
      <w:r>
        <w:rPr>
          <w:rStyle w:val="VerbatimChar"/>
        </w:rPr>
        <w:t xml:space="preserve"> Customer 360         Rescreening              Executive Memory</w:t>
      </w:r>
      <w:r>
        <w:br/>
      </w:r>
      <w:r>
        <w:rPr>
          <w:rStyle w:val="VerbatimChar"/>
        </w:rPr>
        <w:t xml:space="preserve"> Risk Navigator       Regulatory Reporting     Scheduler</w:t>
      </w:r>
      <w:r>
        <w:br/>
      </w:r>
      <w:r>
        <w:rPr>
          <w:rStyle w:val="VerbatimChar"/>
        </w:rPr>
        <w:t xml:space="preserve"> Behavioral           Identity Verification     Operational Readiness</w:t>
      </w:r>
      <w:r>
        <w:br/>
      </w:r>
      <w:r>
        <w:rPr>
          <w:rStyle w:val="VerbatimChar"/>
        </w:rPr>
        <w:t xml:space="preserve"> Explainability       Evidence/Provenance       ...</w:t>
      </w:r>
      <w:r>
        <w:br/>
      </w:r>
      <w:r>
        <w:rPr>
          <w:rStyle w:val="VerbatimChar"/>
        </w:rPr>
        <w:t xml:space="preserve"> Financial GPS</w:t>
      </w:r>
      <w:r>
        <w:br/>
      </w:r>
      <w:r>
        <w:rPr>
          <w:rStyle w:val="VerbatimChar"/>
        </w:rPr>
        <w:t xml:space="preserve"> Entity Resolution</w:t>
      </w:r>
      <w:r>
        <w:br/>
      </w:r>
      <w:r>
        <w:rPr>
          <w:rStyle w:val="VerbatimChar"/>
        </w:rPr>
        <w:t xml:space="preserve">       |</w:t>
      </w:r>
      <w:r>
        <w:br/>
      </w:r>
      <w:r>
        <w:rPr>
          <w:rStyle w:val="VerbatimChar"/>
        </w:rPr>
        <w:t xml:space="preserve">       +----------------------+</w:t>
      </w:r>
      <w:r>
        <w:br/>
      </w:r>
      <w:r>
        <w:rPr>
          <w:rStyle w:val="VerbatimChar"/>
        </w:rPr>
        <w:t xml:space="preserve">                              |</w:t>
      </w:r>
      <w:r>
        <w:br/>
      </w:r>
      <w:r>
        <w:rPr>
          <w:rStyle w:val="VerbatimChar"/>
        </w:rPr>
        <w:t xml:space="preserve">                       API / Workspace</w:t>
      </w:r>
      <w:r>
        <w:br/>
      </w:r>
      <w:r>
        <w:rPr>
          <w:rStyle w:val="VerbatimChar"/>
        </w:rPr>
        <w:t xml:space="preserve">                              |</w:t>
      </w:r>
      <w:r>
        <w:br/>
      </w:r>
      <w:r>
        <w:rPr>
          <w:rStyle w:val="VerbatimChar"/>
        </w:rPr>
        <w:t xml:space="preserve">                         Presentation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2" w:name="_e2c975058896c3de6f521ffc88c7f72071a7a6e"/>
      <w:r>
        <w:t xml:space="preserve">3. Canonical engine layer</w:t>
      </w:r>
    </w:p>
    <w:p>
      <w:pPr>
        <w:pStyle w:val="FirstParagraph"/>
      </w:pPr>
      <w:r>
        <w:t xml:space="preserve">The current composition root is explicit and registers exactly six DecisionEngine implementations:</w:t>
      </w:r>
    </w:p>
    <w:p>
      <w:pPr>
        <w:pStyle w:val="Compact"/>
        <w:numPr>
          <w:ilvl w:val="0"/>
          <w:numId w:val="1001"/>
        </w:numPr>
      </w:pPr>
      <w:r>
        <w:t xml:space="preserve">AML</w:t>
      </w:r>
    </w:p>
    <w:p>
      <w:pPr>
        <w:pStyle w:val="Compact"/>
        <w:numPr>
          <w:ilvl w:val="0"/>
          <w:numId w:val="1001"/>
        </w:numPr>
      </w:pPr>
      <w:r>
        <w:t xml:space="preserve">Fraud</w:t>
      </w:r>
    </w:p>
    <w:p>
      <w:pPr>
        <w:pStyle w:val="Compact"/>
        <w:numPr>
          <w:ilvl w:val="0"/>
          <w:numId w:val="1001"/>
        </w:numPr>
      </w:pPr>
      <w:r>
        <w:t xml:space="preserve">Sanctions</w:t>
      </w:r>
    </w:p>
    <w:p>
      <w:pPr>
        <w:pStyle w:val="Compact"/>
        <w:numPr>
          <w:ilvl w:val="0"/>
          <w:numId w:val="1001"/>
        </w:numPr>
      </w:pPr>
      <w:r>
        <w:t xml:space="preserve">KYC</w:t>
      </w:r>
    </w:p>
    <w:p>
      <w:pPr>
        <w:pStyle w:val="Compact"/>
        <w:numPr>
          <w:ilvl w:val="0"/>
          <w:numId w:val="1001"/>
        </w:numPr>
      </w:pPr>
      <w:r>
        <w:t xml:space="preserve">KYB</w:t>
      </w:r>
    </w:p>
    <w:p>
      <w:pPr>
        <w:pStyle w:val="Compact"/>
        <w:numPr>
          <w:ilvl w:val="0"/>
          <w:numId w:val="1001"/>
        </w:numPr>
      </w:pPr>
      <w:r>
        <w:t xml:space="preserve">Graph</w:t>
      </w:r>
    </w:p>
    <w:p>
      <w:pPr>
        <w:pStyle w:val="FirstParagraph"/>
      </w:pPr>
      <w:r>
        <w:t xml:space="preserve">Source of truth:</w:t>
      </w:r>
    </w:p>
    <w:p>
      <w:pPr>
        <w:pStyle w:val="BodyText"/>
      </w:pPr>
      <w:r>
        <w:rPr>
          <w:rStyle w:val="VerbatimChar"/>
        </w:rPr>
        <w:t xml:space="preserve">src/bootstrap/container.py</w:t>
      </w:r>
    </w:p>
    <w:p>
      <w:pPr>
        <w:pStyle w:val="BodyText"/>
      </w:pPr>
      <w:r>
        <w:t xml:space="preserve">The EngineRegistry is explicit-only. Filesystem discovery and manifest-based dynamic discovery are not runtime authority.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3" w:name="_4eaf84eb0ec66dd5625f67234e3c421c1b51120"/>
      <w:r>
        <w:t xml:space="preserve">4. Canonical platform capability layer</w:t>
      </w:r>
    </w:p>
    <w:p>
      <w:pPr>
        <w:pStyle w:val="FirstParagraph"/>
      </w:pPr>
      <w:r>
        <w:t xml:space="preserve">The current capability activation registry contains 20 named capabilities.</w:t>
      </w:r>
    </w:p>
    <w:p>
      <w:pPr>
        <w:pStyle w:val="Heading3"/>
      </w:pPr>
      <w:bookmarkStart w:id="14" w:name="_f84095179235c3d8dc6734587269bda9366cb7c"/>
      <w:r>
        <w:t xml:space="preserve">Identity / Trust</w:t>
      </w:r>
    </w:p>
    <w:p>
      <w:pPr>
        <w:pStyle w:val="Compact"/>
        <w:numPr>
          <w:ilvl w:val="0"/>
          <w:numId w:val="1002"/>
        </w:numPr>
      </w:pPr>
      <w:r>
        <w:t xml:space="preserve">Identity</w:t>
      </w:r>
    </w:p>
    <w:p>
      <w:pPr>
        <w:pStyle w:val="Compact"/>
        <w:numPr>
          <w:ilvl w:val="0"/>
          <w:numId w:val="1002"/>
        </w:numPr>
      </w:pPr>
      <w:r>
        <w:t xml:space="preserve">Identity Verification / Nafath</w:t>
      </w:r>
    </w:p>
    <w:p>
      <w:pPr>
        <w:pStyle w:val="Compact"/>
        <w:numPr>
          <w:ilvl w:val="0"/>
          <w:numId w:val="1002"/>
        </w:numPr>
      </w:pPr>
      <w:r>
        <w:t xml:space="preserve">Entity Resolution</w:t>
      </w:r>
    </w:p>
    <w:p>
      <w:pPr>
        <w:pStyle w:val="Heading3"/>
      </w:pPr>
      <w:bookmarkStart w:id="15" w:name="_eb3f61a8e7e1e4393db379498a3fbcec42e10c2"/>
      <w:r>
        <w:t xml:space="preserve">Screening / Financial Crime</w:t>
      </w:r>
    </w:p>
    <w:p>
      <w:pPr>
        <w:pStyle w:val="Compact"/>
        <w:numPr>
          <w:ilvl w:val="0"/>
          <w:numId w:val="1003"/>
        </w:numPr>
      </w:pPr>
      <w:r>
        <w:t xml:space="preserve">PEP</w:t>
      </w:r>
    </w:p>
    <w:p>
      <w:pPr>
        <w:pStyle w:val="Compact"/>
        <w:numPr>
          <w:ilvl w:val="0"/>
          <w:numId w:val="1003"/>
        </w:numPr>
      </w:pPr>
      <w:r>
        <w:t xml:space="preserve">Sanctions</w:t>
      </w:r>
    </w:p>
    <w:p>
      <w:pPr>
        <w:pStyle w:val="Compact"/>
        <w:numPr>
          <w:ilvl w:val="0"/>
          <w:numId w:val="1003"/>
        </w:numPr>
      </w:pPr>
      <w:r>
        <w:t xml:space="preserve">Anomaly Detection</w:t>
      </w:r>
    </w:p>
    <w:p>
      <w:pPr>
        <w:pStyle w:val="Compact"/>
        <w:numPr>
          <w:ilvl w:val="0"/>
          <w:numId w:val="1003"/>
        </w:numPr>
      </w:pPr>
      <w:r>
        <w:t xml:space="preserve">Rescreening</w:t>
      </w:r>
    </w:p>
    <w:p>
      <w:pPr>
        <w:pStyle w:val="Heading3"/>
      </w:pPr>
      <w:bookmarkStart w:id="16" w:name="_c6b1b46d2ffd8d3b5701d120fd2114119920a24"/>
      <w:r>
        <w:t xml:space="preserve">Decision / Intelligence</w:t>
      </w:r>
    </w:p>
    <w:p>
      <w:pPr>
        <w:pStyle w:val="Compact"/>
        <w:numPr>
          <w:ilvl w:val="0"/>
          <w:numId w:val="1004"/>
        </w:numPr>
      </w:pPr>
      <w:r>
        <w:t xml:space="preserve">Explainability</w:t>
      </w:r>
    </w:p>
    <w:p>
      <w:pPr>
        <w:pStyle w:val="Compact"/>
        <w:numPr>
          <w:ilvl w:val="0"/>
          <w:numId w:val="1004"/>
        </w:numPr>
      </w:pPr>
      <w:r>
        <w:t xml:space="preserve">Decision DNA</w:t>
      </w:r>
    </w:p>
    <w:p>
      <w:pPr>
        <w:pStyle w:val="Compact"/>
        <w:numPr>
          <w:ilvl w:val="0"/>
          <w:numId w:val="1004"/>
        </w:numPr>
      </w:pPr>
      <w:r>
        <w:t xml:space="preserve">Financial DNA</w:t>
      </w:r>
    </w:p>
    <w:p>
      <w:pPr>
        <w:pStyle w:val="Compact"/>
        <w:numPr>
          <w:ilvl w:val="0"/>
          <w:numId w:val="1004"/>
        </w:numPr>
      </w:pPr>
      <w:r>
        <w:t xml:space="preserve">Customer 360</w:t>
      </w:r>
    </w:p>
    <w:p>
      <w:pPr>
        <w:pStyle w:val="Compact"/>
        <w:numPr>
          <w:ilvl w:val="0"/>
          <w:numId w:val="1004"/>
        </w:numPr>
      </w:pPr>
      <w:r>
        <w:t xml:space="preserve">Risk Navigator</w:t>
      </w:r>
    </w:p>
    <w:p>
      <w:pPr>
        <w:pStyle w:val="Compact"/>
        <w:numPr>
          <w:ilvl w:val="0"/>
          <w:numId w:val="1004"/>
        </w:numPr>
      </w:pPr>
      <w:r>
        <w:t xml:space="preserve">Behavioral Intelligence</w:t>
      </w:r>
    </w:p>
    <w:p>
      <w:pPr>
        <w:pStyle w:val="Compact"/>
        <w:numPr>
          <w:ilvl w:val="0"/>
          <w:numId w:val="1004"/>
        </w:numPr>
      </w:pPr>
      <w:r>
        <w:t xml:space="preserve">Financial GPS</w:t>
      </w:r>
    </w:p>
    <w:p>
      <w:pPr>
        <w:pStyle w:val="Heading3"/>
      </w:pPr>
      <w:bookmarkStart w:id="17" w:name="_4f9389c284fb95aeae2028f5b8b87d9581ce17d"/>
      <w:r>
        <w:t xml:space="preserve">Executive / Institutional</w:t>
      </w:r>
    </w:p>
    <w:p>
      <w:pPr>
        <w:pStyle w:val="Compact"/>
        <w:numPr>
          <w:ilvl w:val="0"/>
          <w:numId w:val="1005"/>
        </w:numPr>
      </w:pPr>
      <w:r>
        <w:t xml:space="preserve">Advisor</w:t>
      </w:r>
    </w:p>
    <w:p>
      <w:pPr>
        <w:pStyle w:val="Compact"/>
        <w:numPr>
          <w:ilvl w:val="0"/>
          <w:numId w:val="1005"/>
        </w:numPr>
      </w:pPr>
      <w:r>
        <w:t xml:space="preserve">Executive Memory</w:t>
      </w:r>
    </w:p>
    <w:p>
      <w:pPr>
        <w:pStyle w:val="Heading3"/>
      </w:pPr>
      <w:bookmarkStart w:id="18" w:name="_04cb50bbe20485e6e093b1144a1904ddc06ade4"/>
      <w:r>
        <w:t xml:space="preserve">Regulatory / Control Plane</w:t>
      </w:r>
    </w:p>
    <w:p>
      <w:pPr>
        <w:pStyle w:val="Compact"/>
        <w:numPr>
          <w:ilvl w:val="0"/>
          <w:numId w:val="1006"/>
        </w:numPr>
      </w:pPr>
      <w:r>
        <w:t xml:space="preserve">Regulatory Reporting</w:t>
      </w:r>
    </w:p>
    <w:p>
      <w:pPr>
        <w:pStyle w:val="Compact"/>
        <w:numPr>
          <w:ilvl w:val="0"/>
          <w:numId w:val="1006"/>
        </w:numPr>
      </w:pPr>
      <w:r>
        <w:t xml:space="preserve">Scheduler</w:t>
      </w:r>
    </w:p>
    <w:p>
      <w:pPr>
        <w:pStyle w:val="Compact"/>
        <w:numPr>
          <w:ilvl w:val="0"/>
          <w:numId w:val="1006"/>
        </w:numPr>
      </w:pPr>
      <w:r>
        <w:t xml:space="preserve">Evidence / Provenance</w:t>
      </w:r>
    </w:p>
    <w:p>
      <w:pPr>
        <w:pStyle w:val="Compact"/>
        <w:numPr>
          <w:ilvl w:val="0"/>
          <w:numId w:val="1006"/>
        </w:numPr>
      </w:pPr>
      <w:r>
        <w:t xml:space="preserve">Operational Readiness</w:t>
      </w:r>
    </w:p>
    <w:p>
      <w:pPr>
        <w:pStyle w:val="FirstParagraph"/>
      </w:pPr>
      <w:r>
        <w:t xml:space="preserve">Canonical registry:</w:t>
      </w:r>
    </w:p>
    <w:p>
      <w:pPr>
        <w:pStyle w:val="BodyText"/>
      </w:pPr>
      <w:r>
        <w:rPr>
          <w:rStyle w:val="VerbatimChar"/>
        </w:rPr>
        <w:t xml:space="preserve">src/core/capabilities/activation.py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9" w:name="_081d17e9872ad9ff0bfc9c0c91acea46f365edc"/>
      <w:r>
        <w:t xml:space="preserve">5. Capability does not equal DecisionEngine</w:t>
      </w:r>
    </w:p>
    <w:p>
      <w:pPr>
        <w:pStyle w:val="FirstParagraph"/>
      </w:pPr>
      <w:r>
        <w:t xml:space="preserve">The current architecture deliberately allows more capabilities than DecisionEngines.</w:t>
      </w:r>
    </w:p>
    <w:p>
      <w:pPr>
        <w:pStyle w:val="BodyText"/>
      </w:pPr>
      <w:r>
        <w:t xml:space="preserve">A capability may be implemented as:</w:t>
      </w:r>
    </w:p>
    <w:p>
      <w:pPr>
        <w:pStyle w:val="Compact"/>
        <w:numPr>
          <w:ilvl w:val="0"/>
          <w:numId w:val="1007"/>
        </w:numPr>
      </w:pPr>
      <w:r>
        <w:t xml:space="preserve">Core primitive/contract</w:t>
      </w:r>
    </w:p>
    <w:p>
      <w:pPr>
        <w:pStyle w:val="Compact"/>
        <w:numPr>
          <w:ilvl w:val="0"/>
          <w:numId w:val="1007"/>
        </w:numPr>
      </w:pPr>
      <w:r>
        <w:t xml:space="preserve">Domain application/service</w:t>
      </w:r>
    </w:p>
    <w:p>
      <w:pPr>
        <w:pStyle w:val="Compact"/>
        <w:numPr>
          <w:ilvl w:val="0"/>
          <w:numId w:val="1007"/>
        </w:numPr>
      </w:pPr>
      <w:r>
        <w:t xml:space="preserve">DecisionEngine</w:t>
      </w:r>
    </w:p>
    <w:p>
      <w:pPr>
        <w:pStyle w:val="Compact"/>
        <w:numPr>
          <w:ilvl w:val="0"/>
          <w:numId w:val="1007"/>
        </w:numPr>
      </w:pPr>
      <w:r>
        <w:t xml:space="preserve">Platform Intelligence service</w:t>
      </w:r>
    </w:p>
    <w:p>
      <w:pPr>
        <w:pStyle w:val="Compact"/>
        <w:numPr>
          <w:ilvl w:val="0"/>
          <w:numId w:val="1007"/>
        </w:numPr>
      </w:pPr>
      <w:r>
        <w:t xml:space="preserve">Compliance/Regulatory service</w:t>
      </w:r>
    </w:p>
    <w:p>
      <w:pPr>
        <w:pStyle w:val="Compact"/>
        <w:numPr>
          <w:ilvl w:val="0"/>
          <w:numId w:val="1007"/>
        </w:numPr>
      </w:pPr>
      <w:r>
        <w:t xml:space="preserve">Executive projection</w:t>
      </w:r>
    </w:p>
    <w:p>
      <w:pPr>
        <w:pStyle w:val="Compact"/>
        <w:numPr>
          <w:ilvl w:val="0"/>
          <w:numId w:val="1007"/>
        </w:numPr>
      </w:pPr>
      <w:r>
        <w:t xml:space="preserve">Operations/control-plane service</w:t>
      </w:r>
    </w:p>
    <w:p>
      <w:pPr>
        <w:pStyle w:val="FirstParagraph"/>
      </w:pPr>
      <w:r>
        <w:t xml:space="preserve">Therefore having 20 capabilities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mean there must be 20 decision engines.</w:t>
      </w:r>
    </w:p>
    <w:p>
      <w:pPr>
        <w:pStyle w:val="BodyText"/>
      </w:pPr>
      <w:r>
        <w:t xml:space="preserve">Likewise, having 30 engines or hundreds of capabilities would be architecturally valid if each has a unique authority boundary and no unintended duplicate runtime.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07aa04821430c7dec34017e7487eb08bb2f78f4"/>
      <w:r>
        <w:t xml:space="preserve">6. Current canonical intelligence homes</w:t>
      </w:r>
    </w:p>
    <w:p>
      <w:pPr>
        <w:pStyle w:val="FirstParagraph"/>
      </w:pPr>
      <w:r>
        <w:t xml:space="preserve">Previously discovered intelligence capabilities are represented in the canonical inventory. Only implementations with current runtime proof are described as active runtime homes: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Current canonical home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DNA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src/repositories/financial_dna_repository.py</w:t>
            </w:r>
            <w:r>
              <w:t xml:space="preserve"> </w:t>
            </w:r>
            <w:r>
              <w:t xml:space="preserve">(read-model source; runtime proof UNKNOWN)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360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src/platform/intelligence/customer360/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Navigator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src/platform/intelligence/risk_navigator/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Advisor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src/platform/intelligence/advisor/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Behavioral Intelligence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src/platform/intelligence/behavioral/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Explainability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src/engines/explainability/</w:t>
            </w:r>
            <w:r>
              <w:t xml:space="preserve"> </w:t>
            </w:r>
            <w:r>
              <w:t xml:space="preserve">(runtime proof UNKNOWN)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Financial GPS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src/platform/intelligence/financial_gps/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Executive Memory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src/platform/intelligence/memory/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Entity Resolution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src/core/identity/identity_resolution_service.py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Rescreening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src/platform/compliance/rescreening/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Scheduler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src/platform/operations/scheduler/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 Readiness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src/platform/operations/readiness.py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/ Provenance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src/platform/provenance/</w:t>
            </w:r>
          </w:p>
        </w:tc>
      </w:tr>
    </w:tbl>
    <w:p>
      <w:pPr>
        <w:pStyle w:val="FirstParagraph"/>
      </w:pPr>
      <w:r>
        <w:t xml:space="preserve">These services are not automatically DecisionEngine authorities.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a3713cd0be79b44c2bb71d8352951358e4ecdfd"/>
      <w:r>
        <w:t xml:space="preserve">7. Screening / external-provider boundaries</w:t>
      </w:r>
    </w:p>
    <w:p>
      <w:pPr>
        <w:pStyle w:val="Heading3"/>
      </w:pPr>
      <w:bookmarkStart w:id="22" w:name="_sanctions"/>
      <w:r>
        <w:t xml:space="preserve">Sanctions</w:t>
      </w:r>
    </w:p>
    <w:p>
      <w:pPr>
        <w:pStyle w:val="FirstParagraph"/>
      </w:pPr>
      <w:r>
        <w:t xml:space="preserve">Canonical screening orchestration is under:</w:t>
      </w:r>
    </w:p>
    <w:p>
      <w:pPr>
        <w:pStyle w:val="BodyText"/>
      </w:pPr>
      <w:r>
        <w:rPr>
          <w:rStyle w:val="VerbatimChar"/>
        </w:rPr>
        <w:t xml:space="preserve">src/platform/compliance/screening/</w:t>
      </w:r>
    </w:p>
    <w:p>
      <w:pPr>
        <w:pStyle w:val="BodyText"/>
      </w:pPr>
      <w:r>
        <w:t xml:space="preserve">The current internal UN sanctions provider path is composed explicitly.</w:t>
      </w:r>
    </w:p>
    <w:p>
      <w:pPr>
        <w:pStyle w:val="Heading3"/>
      </w:pPr>
      <w:bookmarkStart w:id="23" w:name="_pep"/>
      <w:r>
        <w:t xml:space="preserve">PEP</w:t>
      </w:r>
    </w:p>
    <w:p>
      <w:pPr>
        <w:pStyle w:val="FirstParagraph"/>
      </w:pPr>
      <w:r>
        <w:t xml:space="preserve">PEP is owned by the PEP domain:</w:t>
      </w:r>
    </w:p>
    <w:p>
      <w:pPr>
        <w:pStyle w:val="BodyText"/>
      </w:pPr>
      <w:r>
        <w:rPr>
          <w:rStyle w:val="VerbatimChar"/>
        </w:rPr>
        <w:t xml:space="preserve">src/domains/pep/</w:t>
      </w:r>
    </w:p>
    <w:p>
      <w:pPr>
        <w:pStyle w:val="BodyText"/>
      </w:pPr>
      <w:r>
        <w:t xml:space="preserve">It requires an explicit provider implementation. No provider success is fabricated.</w:t>
      </w:r>
    </w:p>
    <w:p>
      <w:pPr>
        <w:pStyle w:val="Heading3"/>
      </w:pPr>
      <w:bookmarkStart w:id="24" w:name="_6bc608e0bf9e677496b45f4963ce5761133bc73"/>
      <w:r>
        <w:t xml:space="preserve">Identity Verification / Nafath</w:t>
      </w:r>
    </w:p>
    <w:p>
      <w:pPr>
        <w:pStyle w:val="FirstParagraph"/>
      </w:pPr>
      <w:r>
        <w:t xml:space="preserve">The canonical adapter boundary is:</w:t>
      </w:r>
    </w:p>
    <w:p>
      <w:pPr>
        <w:pStyle w:val="BodyText"/>
      </w:pPr>
      <w:r>
        <w:rPr>
          <w:rStyle w:val="VerbatimChar"/>
        </w:rPr>
        <w:t xml:space="preserve">src/platform/integrations/identity_verification/adapters/nafath.py</w:t>
      </w:r>
    </w:p>
    <w:p>
      <w:pPr>
        <w:pStyle w:val="BodyText"/>
      </w:pPr>
      <w:r>
        <w:t xml:space="preserve">The adapter is fail-closed until the real provider integration is configured and evidenced.</w:t>
      </w:r>
    </w:p>
    <w:p>
      <w:pPr>
        <w:pStyle w:val="Heading3"/>
      </w:pPr>
      <w:bookmarkStart w:id="25" w:name="_rescreening"/>
      <w:r>
        <w:t xml:space="preserve">Rescreening</w:t>
      </w:r>
    </w:p>
    <w:p>
      <w:pPr>
        <w:pStyle w:val="FirstParagraph"/>
      </w:pPr>
      <w:r>
        <w:t xml:space="preserve">The policy/runtime boundary is:</w:t>
      </w:r>
    </w:p>
    <w:p>
      <w:pPr>
        <w:pStyle w:val="BodyText"/>
      </w:pPr>
      <w:r>
        <w:rPr>
          <w:rStyle w:val="VerbatimChar"/>
        </w:rPr>
        <w:t xml:space="preserve">src/platform/compliance/rescreening/</w:t>
      </w:r>
    </w:p>
    <w:p>
      <w:pPr>
        <w:pStyle w:val="BodyText"/>
      </w:pPr>
      <w:r>
        <w:t xml:space="preserve">Scheduling infrastructure is separate from screening decision authority.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15e7fc8675ac38e1301e9f577acfe3df9aef01e"/>
      <w:r>
        <w:t xml:space="preserve">8. Decision spine</w:t>
      </w:r>
    </w:p>
    <w:p>
      <w:pPr>
        <w:pStyle w:val="FirstParagraph"/>
      </w:pPr>
      <w:r>
        <w:t xml:space="preserve">The current decision path remains centered on the canonical evaluation path:</w:t>
      </w:r>
    </w:p>
    <w:p>
      <w:pPr>
        <w:pStyle w:val="SourceCode"/>
      </w:pPr>
      <w:r>
        <w:rPr>
          <w:rStyle w:val="VerbatimChar"/>
        </w:rPr>
        <w:t xml:space="preserve">Decision Intake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Identity resolution/binding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Canonical transaction/context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DecisionEngine runtime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Risk / Policy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Decision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Decision DNA / Evidence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Audit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Case / Regulatory Reporting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Executive / Institutional projections</w:t>
      </w:r>
    </w:p>
    <w:p>
      <w:pPr>
        <w:pStyle w:val="FirstParagraph"/>
      </w:pPr>
      <w:r>
        <w:t xml:space="preserve">API modules are transport/presentation boundaries and are not the semantic owner of business capabilities.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4d3e75fdad1edfb55a08ac742e8e8ea4e49b97f"/>
      <w:r>
        <w:t xml:space="preserve">9. Evidence and provenance</w:t>
      </w:r>
    </w:p>
    <w:p>
      <w:pPr>
        <w:pStyle w:val="FirstParagraph"/>
      </w:pPr>
      <w:r>
        <w:t xml:space="preserve">Canonical evidence contracts remain under Core:</w:t>
      </w:r>
    </w:p>
    <w:p>
      <w:pPr>
        <w:pStyle w:val="BodyText"/>
      </w:pPr>
      <w:r>
        <w:rPr>
          <w:rStyle w:val="VerbatimChar"/>
        </w:rPr>
        <w:t xml:space="preserve">src/core/contracts/evidence_reference.py</w:t>
      </w:r>
    </w:p>
    <w:p>
      <w:pPr>
        <w:pStyle w:val="BodyText"/>
      </w:pPr>
      <w:r>
        <w:t xml:space="preserve">Evidence/provenance is referenced by source, type, hash where supplied, and timestamp.</w:t>
      </w:r>
    </w:p>
    <w:p>
      <w:pPr>
        <w:pStyle w:val="BodyText"/>
      </w:pPr>
      <w:r>
        <w:t xml:space="preserve">The provenance service is:</w:t>
      </w:r>
    </w:p>
    <w:p>
      <w:pPr>
        <w:pStyle w:val="BodyText"/>
      </w:pPr>
      <w:r>
        <w:rPr>
          <w:rStyle w:val="VerbatimChar"/>
        </w:rPr>
        <w:t xml:space="preserve">src/platform/provenance/</w:t>
      </w:r>
    </w:p>
    <w:p>
      <w:pPr>
        <w:pStyle w:val="BodyText"/>
      </w:pPr>
      <w:r>
        <w:t xml:space="preserve">Decision DNA remains the canonical decision-history authority.</w:t>
      </w:r>
    </w:p>
    <w:p>
      <w:pPr>
        <w:pStyle w:val="BodyText"/>
      </w:pPr>
      <w:r>
        <w:t xml:space="preserve">Executive Memory is a read model/projection over canonical decision history and is not a second decision/evidence store.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2d9325d55f8adee20da369d72f7971d19c1151f"/>
      <w:r>
        <w:t xml:space="preserve">10. Legacy / historical boundary</w:t>
      </w:r>
    </w:p>
    <w:p>
      <w:pPr>
        <w:pStyle w:val="FirstParagraph"/>
      </w:pPr>
      <w:r>
        <w:t xml:space="preserve">Historical implementations are preserved when provenance or reconciliation requires them.</w:t>
      </w:r>
    </w:p>
    <w:p>
      <w:pPr>
        <w:pStyle w:val="BodyText"/>
      </w:pPr>
      <w:r>
        <w:t xml:space="preserve">Examples include: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src/engines/*</w:t>
      </w:r>
      <w:r>
        <w:t xml:space="preserve"> </w:t>
      </w:r>
      <w:r>
        <w:t xml:space="preserve">modules that are not registered as current DecisionEngines</w:t>
      </w:r>
    </w:p>
    <w:p>
      <w:pPr>
        <w:pStyle w:val="Compact"/>
        <w:numPr>
          <w:ilvl w:val="0"/>
          <w:numId w:val="1008"/>
        </w:numPr>
      </w:pPr>
      <w:r>
        <w:t xml:space="preserve">selected</w:t>
      </w:r>
      <w:r>
        <w:t xml:space="preserve"> </w:t>
      </w:r>
      <w:r>
        <w:rPr>
          <w:rStyle w:val="VerbatimChar"/>
        </w:rPr>
        <w:t xml:space="preserve">backend/*</w:t>
      </w:r>
      <w:r>
        <w:t xml:space="preserve"> </w:t>
      </w:r>
      <w:r>
        <w:t xml:space="preserve">heritage surfaces</w:t>
      </w:r>
    </w:p>
    <w:p>
      <w:pPr>
        <w:pStyle w:val="Compact"/>
        <w:numPr>
          <w:ilvl w:val="0"/>
          <w:numId w:val="1008"/>
        </w:numPr>
      </w:pPr>
      <w:r>
        <w:t xml:space="preserve">older</w:t>
      </w:r>
      <w:r>
        <w:t xml:space="preserve"> </w:t>
      </w:r>
      <w:r>
        <w:rPr>
          <w:rStyle w:val="VerbatimChar"/>
        </w:rPr>
        <w:t xml:space="preserve">services/*</w:t>
      </w:r>
      <w:r>
        <w:t xml:space="preserve"> </w:t>
      </w:r>
      <w:r>
        <w:t xml:space="preserve">support/legacy trees</w:t>
      </w:r>
    </w:p>
    <w:p>
      <w:pPr>
        <w:pStyle w:val="Compact"/>
        <w:numPr>
          <w:ilvl w:val="0"/>
          <w:numId w:val="1008"/>
        </w:numPr>
      </w:pPr>
      <w:r>
        <w:t xml:space="preserve">superseded repositories and historical migration seams</w:t>
      </w:r>
    </w:p>
    <w:p>
      <w:pPr>
        <w:pStyle w:val="FirstParagraph"/>
      </w:pPr>
      <w:r>
        <w:t xml:space="preserve">Their state is:</w:t>
      </w:r>
    </w:p>
    <w:p>
      <w:pPr>
        <w:pStyle w:val="SourceCode"/>
      </w:pPr>
      <w:r>
        <w:rPr>
          <w:rStyle w:val="VerbatimChar"/>
        </w:rPr>
        <w:t xml:space="preserve">PRESERVED</w:t>
      </w:r>
      <w:r>
        <w:br/>
      </w:r>
      <w:r>
        <w:rPr>
          <w:rStyle w:val="VerbatimChar"/>
        </w:rPr>
        <w:t xml:space="preserve">   ≠</w:t>
      </w:r>
      <w:r>
        <w:br/>
      </w:r>
      <w:r>
        <w:rPr>
          <w:rStyle w:val="VerbatimChar"/>
        </w:rPr>
        <w:t xml:space="preserve">ACTIVE</w:t>
      </w:r>
      <w:r>
        <w:br/>
      </w:r>
      <w:r>
        <w:rPr>
          <w:rStyle w:val="VerbatimChar"/>
        </w:rPr>
        <w:t xml:space="preserve">   ≠</w:t>
      </w:r>
      <w:r>
        <w:br/>
      </w:r>
      <w:r>
        <w:rPr>
          <w:rStyle w:val="VerbatimChar"/>
        </w:rPr>
        <w:t xml:space="preserve">AUTHORITY</w:t>
      </w:r>
    </w:p>
    <w:p>
      <w:pPr>
        <w:pStyle w:val="FirstParagraph"/>
      </w:pPr>
      <w:r>
        <w:t xml:space="preserve">They must not be:</w:t>
      </w:r>
    </w:p>
    <w:p>
      <w:pPr>
        <w:pStyle w:val="Compact"/>
        <w:numPr>
          <w:ilvl w:val="0"/>
          <w:numId w:val="1009"/>
        </w:numPr>
      </w:pPr>
      <w:r>
        <w:t xml:space="preserve">dynamically discovered</w:t>
      </w:r>
    </w:p>
    <w:p>
      <w:pPr>
        <w:pStyle w:val="Compact"/>
        <w:numPr>
          <w:ilvl w:val="0"/>
          <w:numId w:val="1009"/>
        </w:numPr>
      </w:pPr>
      <w:r>
        <w:t xml:space="preserve">silently registered</w:t>
      </w:r>
    </w:p>
    <w:p>
      <w:pPr>
        <w:pStyle w:val="Compact"/>
        <w:numPr>
          <w:ilvl w:val="0"/>
          <w:numId w:val="1009"/>
        </w:numPr>
      </w:pPr>
      <w:r>
        <w:t xml:space="preserve">inserted into the Golden Path</w:t>
      </w:r>
    </w:p>
    <w:p>
      <w:pPr>
        <w:pStyle w:val="Compact"/>
        <w:numPr>
          <w:ilvl w:val="0"/>
          <w:numId w:val="1009"/>
        </w:numPr>
      </w:pPr>
      <w:r>
        <w:t xml:space="preserve">used as a competing decision authority</w:t>
      </w:r>
    </w:p>
    <w:p>
      <w:pPr>
        <w:pStyle w:val="Compact"/>
        <w:numPr>
          <w:ilvl w:val="0"/>
          <w:numId w:val="1009"/>
        </w:numPr>
      </w:pPr>
      <w:r>
        <w:t xml:space="preserve">treated as current source of truth solely because files still exist</w:t>
      </w:r>
    </w:p>
    <w:p>
      <w:pPr>
        <w:pStyle w:val="FirstParagraph"/>
      </w:pPr>
      <w:r>
        <w:t xml:space="preserve">Deletion remains a separate controlled lifecycle decision.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_f5e922663aa4490a0153fa3aae52a7da936ec69"/>
      <w:r>
        <w:t xml:space="preserve">11. Current capability lifecycle</w:t>
      </w:r>
    </w:p>
    <w:p>
      <w:pPr>
        <w:pStyle w:val="FirstParagraph"/>
      </w:pPr>
      <w:r>
        <w:t xml:space="preserve">The current architecture uses:</w:t>
      </w:r>
    </w:p>
    <w:p>
      <w:pPr>
        <w:pStyle w:val="SourceCode"/>
      </w:pPr>
      <w:r>
        <w:rPr>
          <w:rStyle w:val="VerbatimChar"/>
        </w:rPr>
        <w:t xml:space="preserve">DISCOVERED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CLASSIFIED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CANONICALIZED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ACTIVE</w:t>
      </w:r>
      <w:r>
        <w:br/>
      </w:r>
      <w:r>
        <w:rPr>
          <w:rStyle w:val="VerbatimChar"/>
        </w:rPr>
        <w:t xml:space="preserve">    ↓</w:t>
      </w:r>
      <w:r>
        <w:br/>
      </w:r>
      <w:r>
        <w:rPr>
          <w:rStyle w:val="VerbatimChar"/>
        </w:rPr>
        <w:t xml:space="preserve">PROVEN / BANK-GRADE VERIFIED</w:t>
      </w:r>
    </w:p>
    <w:p>
      <w:pPr>
        <w:pStyle w:val="FirstParagraph"/>
      </w:pPr>
      <w:r>
        <w:rPr>
          <w:rStyle w:val="VerbatimChar"/>
        </w:rPr>
        <w:t xml:space="preserve">ACTIVE</w:t>
      </w:r>
      <w:r>
        <w:t xml:space="preserve"> </w:t>
      </w:r>
      <w:r>
        <w:t xml:space="preserve">means the capability has a canonical architectural identity/runtime boundary.</w:t>
      </w:r>
    </w:p>
    <w:p>
      <w:pPr>
        <w:pStyle w:val="BodyText"/>
      </w:pPr>
      <w:r>
        <w:rPr>
          <w:rStyle w:val="VerbatimChar"/>
        </w:rPr>
        <w:t xml:space="preserve">BANK-GRADE VERIFIED</w:t>
      </w:r>
      <w:r>
        <w:t xml:space="preserve"> </w:t>
      </w:r>
      <w:r>
        <w:t xml:space="preserve">requires actual evidence across:</w:t>
      </w:r>
    </w:p>
    <w:p>
      <w:pPr>
        <w:pStyle w:val="BodyText"/>
      </w:pPr>
      <w:r>
        <w:rPr>
          <w:b/>
          <w:bCs/>
        </w:rPr>
        <w:t xml:space="preserve">Owner + Contract + Runtime + Composition + Data + Evidence + Audit + Tests</w:t>
      </w:r>
    </w:p>
    <w:p>
      <w:pPr>
        <w:pStyle w:val="BodyText"/>
      </w:pPr>
      <w:r>
        <w:t xml:space="preserve">External dependencies must also have real provider/infrastructure evidence.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aa7d8f41a7a3417c7295b3f921018258ef7e181"/>
      <w:r>
        <w:t xml:space="preserve">12. What this document means by</w:t>
      </w:r>
      <w:r>
        <w:t xml:space="preserve"> </w:t>
      </w:r>
      <w:r>
        <w:t xml:space="preserve">“all buried capabilities are surfaced”</w:t>
      </w:r>
    </w:p>
    <w:p>
      <w:pPr>
        <w:pStyle w:val="FirstParagraph"/>
      </w:pPr>
      <w:r>
        <w:t xml:space="preserve">All buried/latent capability surfaces identified by the current repository archaeology and activation work are now represented in the current architecture through one of these states:</w:t>
      </w:r>
    </w:p>
    <w:p>
      <w:pPr>
        <w:pStyle w:val="Compact"/>
        <w:numPr>
          <w:ilvl w:val="0"/>
          <w:numId w:val="1010"/>
        </w:numPr>
      </w:pPr>
      <w:r>
        <w:t xml:space="preserve">Canonical active capability</w:t>
      </w:r>
    </w:p>
    <w:p>
      <w:pPr>
        <w:pStyle w:val="Compact"/>
        <w:numPr>
          <w:ilvl w:val="0"/>
          <w:numId w:val="1010"/>
        </w:numPr>
      </w:pPr>
      <w:r>
        <w:t xml:space="preserve">Canonical DecisionEngine</w:t>
      </w:r>
    </w:p>
    <w:p>
      <w:pPr>
        <w:pStyle w:val="Compact"/>
        <w:numPr>
          <w:ilvl w:val="0"/>
          <w:numId w:val="1010"/>
        </w:numPr>
      </w:pPr>
      <w:r>
        <w:t xml:space="preserve">Platform support service</w:t>
      </w:r>
    </w:p>
    <w:p>
      <w:pPr>
        <w:pStyle w:val="Compact"/>
        <w:numPr>
          <w:ilvl w:val="0"/>
          <w:numId w:val="1010"/>
        </w:numPr>
      </w:pPr>
      <w:r>
        <w:t xml:space="preserve">Control-plane service</w:t>
      </w:r>
    </w:p>
    <w:p>
      <w:pPr>
        <w:pStyle w:val="Compact"/>
        <w:numPr>
          <w:ilvl w:val="0"/>
          <w:numId w:val="1010"/>
        </w:numPr>
      </w:pPr>
      <w:r>
        <w:t xml:space="preserve">External-provider boundary</w:t>
      </w:r>
    </w:p>
    <w:p>
      <w:pPr>
        <w:pStyle w:val="Compact"/>
        <w:numPr>
          <w:ilvl w:val="0"/>
          <w:numId w:val="1010"/>
        </w:numPr>
      </w:pPr>
      <w:r>
        <w:t xml:space="preserve">Preserved legacy/historical surface</w:t>
      </w:r>
    </w:p>
    <w:p>
      <w:pPr>
        <w:pStyle w:val="FirstParagraph"/>
      </w:pPr>
      <w:r>
        <w:t xml:space="preserve">This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logically prove that no undiscovered file or undocumented implementation can exist anywhere in a repository of this size. It means the architecture no longer relies on hidden code being the source of truth: every discovered capability must have an explicit architectural home and authority classification.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_a5d9e38f998f2d473d945005fe61a5b3a458d8d"/>
      <w:r>
        <w:t xml:space="preserve">13. Current truth artifacts</w:t>
      </w:r>
    </w:p>
    <w:p>
      <w:pPr>
        <w:pStyle w:val="FirstParagraph"/>
      </w:pPr>
      <w:r>
        <w:t xml:space="preserve">The current architecture is governed by these artifacts together: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src/bootstrap/container.py</w:t>
      </w:r>
      <w:r>
        <w:t xml:space="preserve"> </w:t>
      </w:r>
      <w:r>
        <w:t xml:space="preserve">— current DecisionEngine composition root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src/core/capabilities/activation.py</w:t>
      </w:r>
      <w:r>
        <w:t xml:space="preserve"> </w:t>
      </w:r>
      <w:r>
        <w:t xml:space="preserve">— canonical 20-capability activation registry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docs/architecture/HISN_CURRENT_ARCHITECTURE_2026-10-02.md</w:t>
      </w:r>
      <w:r>
        <w:t xml:space="preserve"> </w:t>
      </w:r>
      <w:r>
        <w:t xml:space="preserve">— this current-state architecture map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docs/architecture/CAPABILITY_ACTIVATION_TRUTH_2026-10-02.md</w:t>
      </w:r>
      <w:r>
        <w:t xml:space="preserve"> </w:t>
      </w:r>
      <w:r>
        <w:t xml:space="preserve">— capability activation/proof boundary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docs/architecture/buried-runtime-inventory/HISN_LATENT_CAPABILITY_REGISTER_2026-10-02.md</w:t>
      </w:r>
      <w:r>
        <w:t xml:space="preserve"> </w:t>
      </w:r>
      <w:r>
        <w:t xml:space="preserve">— buried/latent reconciliation record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docs/architecture/identity-foundation/code-gate/HISN_MASTER_ARCHITECTURE_INVENTORY.md</w:t>
      </w:r>
      <w:r>
        <w:t xml:space="preserve"> </w:t>
      </w:r>
      <w:r>
        <w:t xml:space="preserve">— historical master inventory/reference where not superseded by current truth</w:t>
      </w:r>
    </w:p>
    <w:p>
      <w:pPr>
        <w:pStyle w:val="FirstParagraph"/>
      </w:pPr>
      <w:r>
        <w:t xml:space="preserve">When an older document conflicts with the current composition root or current capability registry, the current mainline artifacts govern and the older document is treated as historical until reconciled.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_90ecf6b70c3895921848c757be2571b69b21f29"/>
      <w:r>
        <w:t xml:space="preserve">14. Bottom line</w:t>
      </w:r>
    </w:p>
    <w:p>
      <w:pPr>
        <w:pStyle w:val="FirstParagraph"/>
      </w:pPr>
      <w:r>
        <w:t xml:space="preserve">The current architecture is intentionally</w:t>
      </w:r>
      <w:r>
        <w:t xml:space="preserve"> </w:t>
      </w:r>
      <w:r>
        <w:rPr>
          <w:b/>
          <w:bCs/>
        </w:rPr>
        <w:t xml:space="preserve">capability-complete as an architectural map without forcing every capability to become a DecisionEngine</w:t>
      </w:r>
      <w:r>
        <w:t xml:space="preserve">.</w:t>
      </w:r>
    </w:p>
    <w:p>
      <w:pPr>
        <w:pStyle w:val="BodyText"/>
      </w:pPr>
      <w:r>
        <w:t xml:space="preserve">The objective is not to minimize the count of engines/services/modules.</w:t>
      </w:r>
    </w:p>
    <w:p>
      <w:pPr>
        <w:pStyle w:val="BodyText"/>
      </w:pPr>
      <w:r>
        <w:t xml:space="preserve">The objective is:</w:t>
      </w:r>
    </w:p>
    <w:p>
      <w:pPr>
        <w:pStyle w:val="BlockText"/>
      </w:pPr>
      <w:r>
        <w:rPr>
          <w:b/>
          <w:bCs/>
        </w:rPr>
        <w:t xml:space="preserve">One current architectural truth, explicit ownership, explicit runtime boundaries, no accidental parallel decision authorities, and preserved historical code that cannot silently participate in business logic.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CURRENT ARCHITECTURE 2026-10-02</dc:title>
  <dc:creator>HISN Platform</dc:creator>
  <cp:keywords>HISN, FCDOS, financial crime, decision operating system</cp:keywords>
  <dcterms:created xsi:type="dcterms:W3CDTF">2026-10-13T12:56:49Z</dcterms:created>
  <dcterms:modified xsi:type="dcterms:W3CDTF">2026-10-13T12:56:49Z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