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35e7942c292943583de72ed365587b84a1e361a"/>
      <w:r>
        <w:t xml:space="preserve">HISN Production Release &amp; Rollback Runbook</w:t>
      </w:r>
    </w:p>
    <w:p>
      <w:pPr>
        <w:pStyle w:val="FirstParagraph"/>
      </w:pPr>
      <w:r>
        <w:rPr>
          <w:b/>
          <w:bCs/>
        </w:rPr>
        <w:t xml:space="preserve">Effective:</w:t>
      </w:r>
      <w:r>
        <w:t xml:space="preserve"> </w:t>
      </w:r>
      <w:r>
        <w:t xml:space="preserve">2026-10-07</w:t>
      </w:r>
      <w:r>
        <w:br/>
      </w:r>
      <w:r>
        <w:rPr>
          <w:b/>
          <w:bCs/>
        </w:rPr>
        <w:t xml:space="preserve">Classification:</w:t>
      </w:r>
      <w:r>
        <w:t xml:space="preserve"> </w:t>
      </w:r>
      <w:r>
        <w:t xml:space="preserve">Internal Banking Engineering Control</w:t>
      </w:r>
      <w:r>
        <w:br/>
      </w:r>
      <w:r>
        <w:rPr>
          <w:b/>
          <w:bCs/>
        </w:rPr>
        <w:t xml:space="preserve">Authority:</w:t>
      </w:r>
      <w:r>
        <w:t xml:space="preserve"> </w:t>
      </w:r>
      <w:r>
        <w:t xml:space="preserve">CTO / CISO</w:t>
      </w:r>
    </w:p>
    <w:p>
      <w:pPr>
        <w:pStyle w:val="Heading2"/>
      </w:pPr>
      <w:bookmarkStart w:id="10" w:name="_3fda082bdaa12d5bdbed5967178b72340338592"/>
      <w:r>
        <w:t xml:space="preserve">1. Release admission</w:t>
      </w:r>
    </w:p>
    <w:p>
      <w:pPr>
        <w:pStyle w:val="FirstParagraph"/>
      </w:pPr>
      <w:r>
        <w:t xml:space="preserve">A production release may proceed only after the executable release-admission control passes:</w:t>
      </w:r>
    </w:p>
    <w:p>
      <w:pPr>
        <w:pStyle w:val="SourceCode"/>
      </w:pPr>
      <w:r>
        <w:rPr>
          <w:rStyle w:val="VerbatimChar"/>
        </w:rPr>
        <w:t xml:space="preserve">bash</w:t>
      </w:r>
      <w:r>
        <w:br/>
      </w:r>
      <w:r>
        <w:rPr>
          <w:rStyle w:val="VerbatimChar"/>
        </w:rPr>
        <w:t xml:space="preserve">bash scripts/security/release_admission.sh</w:t>
      </w:r>
    </w:p>
    <w:p>
      <w:pPr>
        <w:pStyle w:val="FirstParagraph"/>
      </w:pPr>
      <w:r>
        <w:t xml:space="preserve">Required evidence is defined in:</w:t>
      </w:r>
    </w:p>
    <w:p>
      <w:pPr>
        <w:pStyle w:val="SourceCode"/>
      </w:pPr>
      <w:r>
        <w:rPr>
          <w:rStyle w:val="VerbatimChar"/>
        </w:rPr>
        <w:t xml:space="preserve">docs/production/HISN_BANK_GRADE_RELEASE_CONTROL_STANDARD_2026-10-07.md</w:t>
      </w:r>
    </w:p>
    <w:p>
      <w:pPr>
        <w:pStyle w:val="Heading2"/>
      </w:pPr>
      <w:bookmarkStart w:id="11" w:name="_f10b81493ed90c06527016a293b989e9bc41734"/>
      <w:r>
        <w:t xml:space="preserve">2. Pre-release checklist</w:t>
      </w:r>
    </w:p>
    <w:p>
      <w:pPr>
        <w:pStyle w:val="FirstParagraph"/>
      </w:pPr>
      <w:r>
        <w:t xml:space="preserve">The release record must identify:</w:t>
      </w:r>
    </w:p>
    <w:p>
      <w:pPr>
        <w:pStyle w:val="Compact"/>
        <w:numPr>
          <w:ilvl w:val="0"/>
          <w:numId w:val="1001"/>
        </w:numPr>
      </w:pPr>
      <w:r>
        <w:t xml:space="preserve">Change ID</w:t>
      </w:r>
    </w:p>
    <w:p>
      <w:pPr>
        <w:pStyle w:val="Compact"/>
        <w:numPr>
          <w:ilvl w:val="0"/>
          <w:numId w:val="1001"/>
        </w:numPr>
      </w:pPr>
      <w:r>
        <w:t xml:space="preserve">candidate SHA</w:t>
      </w:r>
    </w:p>
    <w:p>
      <w:pPr>
        <w:pStyle w:val="Compact"/>
        <w:numPr>
          <w:ilvl w:val="0"/>
          <w:numId w:val="1001"/>
        </w:numPr>
      </w:pPr>
      <w:r>
        <w:t xml:space="preserve">target environment</w:t>
      </w:r>
    </w:p>
    <w:p>
      <w:pPr>
        <w:pStyle w:val="Compact"/>
        <w:numPr>
          <w:ilvl w:val="0"/>
          <w:numId w:val="1001"/>
        </w:numPr>
      </w:pPr>
      <w:r>
        <w:t xml:space="preserve">release classification</w:t>
      </w:r>
    </w:p>
    <w:p>
      <w:pPr>
        <w:pStyle w:val="Compact"/>
        <w:numPr>
          <w:ilvl w:val="0"/>
          <w:numId w:val="1001"/>
        </w:numPr>
      </w:pPr>
      <w:r>
        <w:t xml:space="preserve">release owner</w:t>
      </w:r>
    </w:p>
    <w:p>
      <w:pPr>
        <w:pStyle w:val="Compact"/>
        <w:numPr>
          <w:ilvl w:val="0"/>
          <w:numId w:val="1001"/>
        </w:numPr>
      </w:pPr>
      <w:r>
        <w:t xml:space="preserve">security approval reference</w:t>
      </w:r>
    </w:p>
    <w:p>
      <w:pPr>
        <w:pStyle w:val="Compact"/>
        <w:numPr>
          <w:ilvl w:val="0"/>
          <w:numId w:val="1001"/>
        </w:numPr>
      </w:pPr>
      <w:r>
        <w:t xml:space="preserve">business/service-owner approval reference</w:t>
      </w:r>
    </w:p>
    <w:p>
      <w:pPr>
        <w:pStyle w:val="Compact"/>
        <w:numPr>
          <w:ilvl w:val="0"/>
          <w:numId w:val="1001"/>
        </w:numPr>
      </w:pPr>
      <w:r>
        <w:t xml:space="preserve">rollback reference</w:t>
      </w:r>
    </w:p>
    <w:p>
      <w:pPr>
        <w:pStyle w:val="Compact"/>
        <w:numPr>
          <w:ilvl w:val="0"/>
          <w:numId w:val="1001"/>
        </w:numPr>
      </w:pPr>
      <w:r>
        <w:t xml:space="preserve">DR plan reference</w:t>
      </w:r>
    </w:p>
    <w:p>
      <w:pPr>
        <w:pStyle w:val="Compact"/>
        <w:numPr>
          <w:ilvl w:val="0"/>
          <w:numId w:val="1001"/>
        </w:numPr>
      </w:pPr>
      <w:r>
        <w:t xml:space="preserve">exact-head assurance bundle</w:t>
      </w:r>
    </w:p>
    <w:p>
      <w:pPr>
        <w:pStyle w:val="FirstParagraph"/>
      </w:pPr>
      <w:r>
        <w:t xml:space="preserve">No production admission is granted when any mandatory reference is missing.</w:t>
      </w:r>
    </w:p>
    <w:p>
      <w:pPr>
        <w:pStyle w:val="Heading2"/>
      </w:pPr>
      <w:bookmarkStart w:id="12" w:name="_rollout"/>
      <w:r>
        <w:t xml:space="preserve">3. Rollout</w:t>
      </w:r>
    </w:p>
    <w:p>
      <w:pPr>
        <w:pStyle w:val="FirstParagraph"/>
      </w:pPr>
      <w:r>
        <w:t xml:space="preserve">The release operator verifies:</w:t>
      </w:r>
    </w:p>
    <w:p>
      <w:pPr>
        <w:pStyle w:val="Compact"/>
        <w:numPr>
          <w:ilvl w:val="0"/>
          <w:numId w:val="1002"/>
        </w:numPr>
      </w:pPr>
      <w:r>
        <w:t xml:space="preserve">candidate SHA equals the approved release SHA;</w:t>
      </w:r>
    </w:p>
    <w:p>
      <w:pPr>
        <w:pStyle w:val="Compact"/>
        <w:numPr>
          <w:ilvl w:val="0"/>
          <w:numId w:val="1002"/>
        </w:numPr>
      </w:pPr>
      <w:r>
        <w:t xml:space="preserve">working tree is clean;</w:t>
      </w:r>
    </w:p>
    <w:p>
      <w:pPr>
        <w:pStyle w:val="Compact"/>
        <w:numPr>
          <w:ilvl w:val="0"/>
          <w:numId w:val="1002"/>
        </w:numPr>
      </w:pPr>
      <w:r>
        <w:t xml:space="preserve">exact-head assurance is PASS;</w:t>
      </w:r>
    </w:p>
    <w:p>
      <w:pPr>
        <w:pStyle w:val="Compact"/>
        <w:numPr>
          <w:ilvl w:val="0"/>
          <w:numId w:val="1002"/>
        </w:numPr>
      </w:pPr>
      <w:r>
        <w:t xml:space="preserve">release evidence checksums verify;</w:t>
      </w:r>
    </w:p>
    <w:p>
      <w:pPr>
        <w:pStyle w:val="Compact"/>
        <w:numPr>
          <w:ilvl w:val="0"/>
          <w:numId w:val="1002"/>
        </w:numPr>
      </w:pPr>
      <w:r>
        <w:t xml:space="preserve">database migration posture is known;</w:t>
      </w:r>
    </w:p>
    <w:p>
      <w:pPr>
        <w:pStyle w:val="Compact"/>
        <w:numPr>
          <w:ilvl w:val="0"/>
          <w:numId w:val="1002"/>
        </w:numPr>
      </w:pPr>
      <w:r>
        <w:t xml:space="preserve">deployment target identity is correct;</w:t>
      </w:r>
    </w:p>
    <w:p>
      <w:pPr>
        <w:pStyle w:val="Compact"/>
        <w:numPr>
          <w:ilvl w:val="0"/>
          <w:numId w:val="1002"/>
        </w:numPr>
      </w:pPr>
      <w:r>
        <w:t xml:space="preserve">post-release verification checks are defined.</w:t>
      </w:r>
    </w:p>
    <w:p>
      <w:pPr>
        <w:pStyle w:val="FirstParagraph"/>
      </w:pPr>
      <w:r>
        <w:t xml:space="preserve">After deployment, retain:</w:t>
      </w:r>
    </w:p>
    <w:p>
      <w:pPr>
        <w:pStyle w:val="Compact"/>
        <w:numPr>
          <w:ilvl w:val="0"/>
          <w:numId w:val="1003"/>
        </w:numPr>
      </w:pPr>
      <w:r>
        <w:t xml:space="preserve">deployment identifier;</w:t>
      </w:r>
    </w:p>
    <w:p>
      <w:pPr>
        <w:pStyle w:val="Compact"/>
        <w:numPr>
          <w:ilvl w:val="0"/>
          <w:numId w:val="1003"/>
        </w:numPr>
      </w:pPr>
      <w:r>
        <w:t xml:space="preserve">deployment timestamp;</w:t>
      </w:r>
    </w:p>
    <w:p>
      <w:pPr>
        <w:pStyle w:val="Compact"/>
        <w:numPr>
          <w:ilvl w:val="0"/>
          <w:numId w:val="1003"/>
        </w:numPr>
      </w:pPr>
      <w:r>
        <w:t xml:space="preserve">health result;</w:t>
      </w:r>
    </w:p>
    <w:p>
      <w:pPr>
        <w:pStyle w:val="Compact"/>
        <w:numPr>
          <w:ilvl w:val="0"/>
          <w:numId w:val="1003"/>
        </w:numPr>
      </w:pPr>
      <w:r>
        <w:t xml:space="preserve">authentication/authorization result;</w:t>
      </w:r>
    </w:p>
    <w:p>
      <w:pPr>
        <w:pStyle w:val="Compact"/>
        <w:numPr>
          <w:ilvl w:val="0"/>
          <w:numId w:val="1003"/>
        </w:numPr>
      </w:pPr>
      <w:r>
        <w:t xml:space="preserve">tenant-boundary result where applicable;</w:t>
      </w:r>
    </w:p>
    <w:p>
      <w:pPr>
        <w:pStyle w:val="Compact"/>
        <w:numPr>
          <w:ilvl w:val="0"/>
          <w:numId w:val="1003"/>
        </w:numPr>
      </w:pPr>
      <w:r>
        <w:t xml:space="preserve">decision/evidence/audit persistence result;</w:t>
      </w:r>
    </w:p>
    <w:p>
      <w:pPr>
        <w:pStyle w:val="Compact"/>
        <w:numPr>
          <w:ilvl w:val="0"/>
          <w:numId w:val="1003"/>
        </w:numPr>
      </w:pPr>
      <w:r>
        <w:t xml:space="preserve">operator identity.</w:t>
      </w:r>
    </w:p>
    <w:p>
      <w:pPr>
        <w:pStyle w:val="Heading2"/>
      </w:pPr>
      <w:bookmarkStart w:id="13" w:name="_0b9d771beee04973449d9b3add15e58a86804c0"/>
      <w:r>
        <w:t xml:space="preserve">4. Rollback triggers</w:t>
      </w:r>
    </w:p>
    <w:p>
      <w:pPr>
        <w:pStyle w:val="FirstParagraph"/>
      </w:pPr>
      <w:r>
        <w:t xml:space="preserve">Initiate rollback or controlled forward-fix when any of the following is observed:</w:t>
      </w:r>
    </w:p>
    <w:p>
      <w:pPr>
        <w:pStyle w:val="Compact"/>
        <w:numPr>
          <w:ilvl w:val="0"/>
          <w:numId w:val="1004"/>
        </w:numPr>
      </w:pPr>
      <w:r>
        <w:t xml:space="preserve">authentication or privileged-access control failure;</w:t>
      </w:r>
    </w:p>
    <w:p>
      <w:pPr>
        <w:pStyle w:val="Compact"/>
        <w:numPr>
          <w:ilvl w:val="0"/>
          <w:numId w:val="1004"/>
        </w:numPr>
      </w:pPr>
      <w:r>
        <w:t xml:space="preserve">cross-tenant access or RLS failure;</w:t>
      </w:r>
    </w:p>
    <w:p>
      <w:pPr>
        <w:pStyle w:val="Compact"/>
        <w:numPr>
          <w:ilvl w:val="0"/>
          <w:numId w:val="1004"/>
        </w:numPr>
      </w:pPr>
      <w:r>
        <w:t xml:space="preserve">decision semantics/integrity failure;</w:t>
      </w:r>
    </w:p>
    <w:p>
      <w:pPr>
        <w:pStyle w:val="Compact"/>
        <w:numPr>
          <w:ilvl w:val="0"/>
          <w:numId w:val="1004"/>
        </w:numPr>
      </w:pPr>
      <w:r>
        <w:t xml:space="preserve">evidence or audit-chain integrity failure;</w:t>
      </w:r>
    </w:p>
    <w:p>
      <w:pPr>
        <w:pStyle w:val="Compact"/>
        <w:numPr>
          <w:ilvl w:val="0"/>
          <w:numId w:val="1004"/>
        </w:numPr>
      </w:pPr>
      <w:r>
        <w:t xml:space="preserve">migration failure or data corruption;</w:t>
      </w:r>
    </w:p>
    <w:p>
      <w:pPr>
        <w:pStyle w:val="Compact"/>
        <w:numPr>
          <w:ilvl w:val="0"/>
          <w:numId w:val="1004"/>
        </w:numPr>
      </w:pPr>
      <w:r>
        <w:t xml:space="preserve">critical availability regression;</w:t>
      </w:r>
    </w:p>
    <w:p>
      <w:pPr>
        <w:pStyle w:val="Compact"/>
        <w:numPr>
          <w:ilvl w:val="0"/>
          <w:numId w:val="1004"/>
        </w:numPr>
      </w:pPr>
      <w:r>
        <w:t xml:space="preserve">HIGH/CRITICAL security regression introduced by the release.</w:t>
      </w:r>
    </w:p>
    <w:p>
      <w:pPr>
        <w:pStyle w:val="FirstParagraph"/>
      </w:pPr>
      <w:r>
        <w:t xml:space="preserve">The incident/change record must be updated with the trigger and decision.</w:t>
      </w:r>
    </w:p>
    <w:p>
      <w:pPr>
        <w:pStyle w:val="Heading2"/>
      </w:pPr>
      <w:bookmarkStart w:id="14" w:name="_14f3eb9431ab52e7838d8405a8138f716f8ce55"/>
      <w:r>
        <w:t xml:space="preserve">5. Rollback sequence</w:t>
      </w:r>
    </w:p>
    <w:p>
      <w:pPr>
        <w:pStyle w:val="Compact"/>
        <w:numPr>
          <w:ilvl w:val="0"/>
          <w:numId w:val="1005"/>
        </w:numPr>
      </w:pPr>
      <w:r>
        <w:t xml:space="preserve">Freeze further release activity.</w:t>
      </w:r>
    </w:p>
    <w:p>
      <w:pPr>
        <w:pStyle w:val="Compact"/>
        <w:numPr>
          <w:ilvl w:val="0"/>
          <w:numId w:val="1005"/>
        </w:numPr>
      </w:pPr>
      <w:r>
        <w:t xml:space="preserve">Identify the last known-good deployment/commit.</w:t>
      </w:r>
    </w:p>
    <w:p>
      <w:pPr>
        <w:pStyle w:val="Compact"/>
        <w:numPr>
          <w:ilvl w:val="0"/>
          <w:numId w:val="1005"/>
        </w:numPr>
      </w:pPr>
      <w:r>
        <w:t xml:space="preserve">Confirm rollback authority from the change/incident record.</w:t>
      </w:r>
    </w:p>
    <w:p>
      <w:pPr>
        <w:pStyle w:val="Compact"/>
        <w:numPr>
          <w:ilvl w:val="0"/>
          <w:numId w:val="1005"/>
        </w:numPr>
      </w:pPr>
      <w:r>
        <w:t xml:space="preserve">Execute the approved rollback or approved forward-fix.</w:t>
      </w:r>
    </w:p>
    <w:p>
      <w:pPr>
        <w:pStyle w:val="Compact"/>
        <w:numPr>
          <w:ilvl w:val="0"/>
          <w:numId w:val="1005"/>
        </w:numPr>
      </w:pPr>
      <w:r>
        <w:t xml:space="preserve">Verify application health.</w:t>
      </w:r>
    </w:p>
    <w:p>
      <w:pPr>
        <w:pStyle w:val="Compact"/>
        <w:numPr>
          <w:ilvl w:val="0"/>
          <w:numId w:val="1005"/>
        </w:numPr>
      </w:pPr>
      <w:r>
        <w:t xml:space="preserve">Verify authentication and authorization.</w:t>
      </w:r>
    </w:p>
    <w:p>
      <w:pPr>
        <w:pStyle w:val="Compact"/>
        <w:numPr>
          <w:ilvl w:val="0"/>
          <w:numId w:val="1005"/>
        </w:numPr>
      </w:pPr>
      <w:r>
        <w:t xml:space="preserve">Verify tenant isolation.</w:t>
      </w:r>
    </w:p>
    <w:p>
      <w:pPr>
        <w:pStyle w:val="Compact"/>
        <w:numPr>
          <w:ilvl w:val="0"/>
          <w:numId w:val="1005"/>
        </w:numPr>
      </w:pPr>
      <w:r>
        <w:t xml:space="preserve">Verify decision and evidence integrity.</w:t>
      </w:r>
    </w:p>
    <w:p>
      <w:pPr>
        <w:pStyle w:val="Compact"/>
        <w:numPr>
          <w:ilvl w:val="0"/>
          <w:numId w:val="1005"/>
        </w:numPr>
      </w:pPr>
      <w:r>
        <w:t xml:space="preserve">Verify database consistency.</w:t>
      </w:r>
    </w:p>
    <w:p>
      <w:pPr>
        <w:pStyle w:val="Compact"/>
        <w:numPr>
          <w:ilvl w:val="0"/>
          <w:numId w:val="1005"/>
        </w:numPr>
      </w:pPr>
      <w:r>
        <w:t xml:space="preserve">Retain rollback evidence and close the incident/change only after post-rollback verification.</w:t>
      </w:r>
    </w:p>
    <w:p>
      <w:pPr>
        <w:pStyle w:val="Heading2"/>
      </w:pPr>
      <w:bookmarkStart w:id="15" w:name="_7a83ad729811ab4b44865ca887448f39ea006c5"/>
      <w:r>
        <w:t xml:space="preserve">6. Database migrations</w:t>
      </w:r>
    </w:p>
    <w:p>
      <w:pPr>
        <w:pStyle w:val="FirstParagraph"/>
      </w:pPr>
      <w:r>
        <w:t xml:space="preserve">Database rollback must never assume that application rollback alone restores data safety.</w:t>
      </w:r>
    </w:p>
    <w:p>
      <w:pPr>
        <w:pStyle w:val="BodyText"/>
      </w:pPr>
      <w:r>
        <w:t xml:space="preserve">For each migration:</w:t>
      </w:r>
    </w:p>
    <w:p>
      <w:pPr>
        <w:pStyle w:val="Compact"/>
        <w:numPr>
          <w:ilvl w:val="0"/>
          <w:numId w:val="1006"/>
        </w:numPr>
      </w:pPr>
      <w:r>
        <w:t xml:space="preserve">classify reversibility;</w:t>
      </w:r>
    </w:p>
    <w:p>
      <w:pPr>
        <w:pStyle w:val="Compact"/>
        <w:numPr>
          <w:ilvl w:val="0"/>
          <w:numId w:val="1006"/>
        </w:numPr>
      </w:pPr>
      <w:r>
        <w:t xml:space="preserve">identify rollback/forward-fix strategy;</w:t>
      </w:r>
    </w:p>
    <w:p>
      <w:pPr>
        <w:pStyle w:val="Compact"/>
        <w:numPr>
          <w:ilvl w:val="0"/>
          <w:numId w:val="1006"/>
        </w:numPr>
      </w:pPr>
      <w:r>
        <w:t xml:space="preserve">preserve backup/PITR capability;</w:t>
      </w:r>
    </w:p>
    <w:p>
      <w:pPr>
        <w:pStyle w:val="Compact"/>
        <w:numPr>
          <w:ilvl w:val="0"/>
          <w:numId w:val="1006"/>
        </w:numPr>
      </w:pPr>
      <w:r>
        <w:t xml:space="preserve">document affected schemas/tables;</w:t>
      </w:r>
    </w:p>
    <w:p>
      <w:pPr>
        <w:pStyle w:val="Compact"/>
        <w:numPr>
          <w:ilvl w:val="0"/>
          <w:numId w:val="1006"/>
        </w:numPr>
      </w:pPr>
      <w:r>
        <w:t xml:space="preserve">define integrity verification after recovery.</w:t>
      </w:r>
    </w:p>
    <w:p>
      <w:pPr>
        <w:pStyle w:val="FirstParagraph"/>
      </w:pPr>
      <w:r>
        <w:t xml:space="preserve">Irreversible migrations require an explicit forward-fix/data-recovery strategy.</w:t>
      </w:r>
    </w:p>
    <w:p>
      <w:pPr>
        <w:pStyle w:val="Heading2"/>
      </w:pPr>
      <w:bookmarkStart w:id="16" w:name="_89be332191dfa7d439323dfc268c10db3e7be48"/>
      <w:r>
        <w:t xml:space="preserve">7. Disaster-recovery relationship</w:t>
      </w:r>
    </w:p>
    <w:p>
      <w:pPr>
        <w:pStyle w:val="FirstParagraph"/>
      </w:pPr>
      <w:r>
        <w:t xml:space="preserve">For changes supporting critical services, the corresponding DR environment/change sequence must be addressed after successful main-site implementation, subject to the approved continuity plan.</w:t>
      </w:r>
    </w:p>
    <w:p>
      <w:pPr>
        <w:pStyle w:val="Heading2"/>
      </w:pPr>
      <w:bookmarkStart w:id="17" w:name="_fdc7ef0564fb6c9100988ecceec3e266e6db1b4"/>
      <w:r>
        <w:t xml:space="preserve">8. Emergency changes</w:t>
      </w:r>
    </w:p>
    <w:p>
      <w:pPr>
        <w:pStyle w:val="FirstParagraph"/>
      </w:pPr>
      <w:r>
        <w:t xml:space="preserve">Emergency release evidence must additionally identify:</w:t>
      </w:r>
    </w:p>
    <w:p>
      <w:pPr>
        <w:pStyle w:val="Compact"/>
        <w:numPr>
          <w:ilvl w:val="0"/>
          <w:numId w:val="1007"/>
        </w:numPr>
      </w:pPr>
      <w:r>
        <w:t xml:space="preserve">incident ID;</w:t>
      </w:r>
    </w:p>
    <w:p>
      <w:pPr>
        <w:pStyle w:val="Compact"/>
        <w:numPr>
          <w:ilvl w:val="0"/>
          <w:numId w:val="1007"/>
        </w:numPr>
      </w:pPr>
      <w:r>
        <w:t xml:space="preserve">emergency justification;</w:t>
      </w:r>
    </w:p>
    <w:p>
      <w:pPr>
        <w:pStyle w:val="Compact"/>
        <w:numPr>
          <w:ilvl w:val="0"/>
          <w:numId w:val="1007"/>
        </w:numPr>
      </w:pPr>
      <w:r>
        <w:t xml:space="preserve">approving authority;</w:t>
      </w:r>
    </w:p>
    <w:p>
      <w:pPr>
        <w:pStyle w:val="Compact"/>
        <w:numPr>
          <w:ilvl w:val="0"/>
          <w:numId w:val="1007"/>
        </w:numPr>
      </w:pPr>
      <w:r>
        <w:t xml:space="preserve">rollback point;</w:t>
      </w:r>
    </w:p>
    <w:p>
      <w:pPr>
        <w:pStyle w:val="Compact"/>
        <w:numPr>
          <w:ilvl w:val="0"/>
          <w:numId w:val="1007"/>
        </w:numPr>
      </w:pPr>
      <w:r>
        <w:t xml:space="preserve">post-change review deadline.</w:t>
      </w:r>
    </w:p>
    <w:p>
      <w:pPr>
        <w:pStyle w:val="FirstParagraph"/>
      </w:pPr>
      <w:r>
        <w:t xml:space="preserve">Emergency handling never removes the evidence requirement; it changes the approval/timing path.</w:t>
      </w:r>
    </w:p>
    <w:p>
      <w:pPr>
        <w:pStyle w:val="Heading2"/>
      </w:pPr>
      <w:bookmarkStart w:id="18" w:name="_f8bb60b516fe0bd11e2f3de1c3d14bdcde43ad3"/>
      <w:r>
        <w:t xml:space="preserve">9. Evidence retention</w:t>
      </w:r>
    </w:p>
    <w:p>
      <w:pPr>
        <w:pStyle w:val="FirstParagraph"/>
      </w:pPr>
      <w:r>
        <w:t xml:space="preserve">The release and rollback evidence package should preserve:</w:t>
      </w:r>
    </w:p>
    <w:p>
      <w:pPr>
        <w:pStyle w:val="SourceCode"/>
      </w:pPr>
      <w:r>
        <w:rPr>
          <w:rStyle w:val="VerbatimChar"/>
        </w:rPr>
        <w:t xml:space="preserve">release-manifest.json</w:t>
      </w:r>
      <w:r>
        <w:br/>
      </w:r>
      <w:r>
        <w:rPr>
          <w:rStyle w:val="VerbatimChar"/>
        </w:rPr>
        <w:t xml:space="preserve">assurance-reference.txt</w:t>
      </w:r>
      <w:r>
        <w:br/>
      </w:r>
      <w:r>
        <w:rPr>
          <w:rStyle w:val="VerbatimChar"/>
        </w:rPr>
        <w:t xml:space="preserve">security-approval-reference.txt</w:t>
      </w:r>
      <w:r>
        <w:br/>
      </w:r>
      <w:r>
        <w:rPr>
          <w:rStyle w:val="VerbatimChar"/>
        </w:rPr>
        <w:t xml:space="preserve">business-approval-reference.txt</w:t>
      </w:r>
      <w:r>
        <w:br/>
      </w:r>
      <w:r>
        <w:rPr>
          <w:rStyle w:val="VerbatimChar"/>
        </w:rPr>
        <w:t xml:space="preserve">rollback-reference.txt</w:t>
      </w:r>
      <w:r>
        <w:br/>
      </w:r>
      <w:r>
        <w:rPr>
          <w:rStyle w:val="VerbatimChar"/>
        </w:rPr>
        <w:t xml:space="preserve">dr-plan-reference.txt</w:t>
      </w:r>
      <w:r>
        <w:br/>
      </w:r>
      <w:r>
        <w:rPr>
          <w:rStyle w:val="VerbatimChar"/>
        </w:rPr>
        <w:t xml:space="preserve">verification-summary.txt</w:t>
      </w:r>
      <w:r>
        <w:br/>
      </w:r>
      <w:r>
        <w:rPr>
          <w:rStyle w:val="VerbatimChar"/>
        </w:rPr>
        <w:t xml:space="preserve">SHA256SUMS</w:t>
      </w:r>
    </w:p>
    <w:p>
      <w:pPr>
        <w:pStyle w:val="Heading2"/>
      </w:pPr>
      <w:bookmarkStart w:id="19" w:name="_3ad05e4500faaacfa21f58e6f80b11819624beb"/>
      <w:r>
        <w:t xml:space="preserve">10. Governance boundary</w:t>
      </w:r>
    </w:p>
    <w:p>
      <w:pPr>
        <w:pStyle w:val="FirstParagraph"/>
      </w:pPr>
      <w:r>
        <w:t xml:space="preserve">A passing automated test is</w:t>
      </w:r>
      <w:r>
        <w:t xml:space="preserve"> </w:t>
      </w:r>
      <w:r>
        <w:rPr>
          <w:b/>
          <w:bCs/>
        </w:rPr>
        <w:t xml:space="preserve">engineering evidence</w:t>
      </w:r>
      <w:r>
        <w:t xml:space="preserve">.</w:t>
      </w:r>
    </w:p>
    <w:p>
      <w:pPr>
        <w:pStyle w:val="BodyText"/>
      </w:pPr>
      <w:r>
        <w:t xml:space="preserve">A production release is</w:t>
      </w:r>
      <w:r>
        <w:t xml:space="preserve"> </w:t>
      </w:r>
      <w:r>
        <w:rPr>
          <w:b/>
          <w:bCs/>
        </w:rPr>
        <w:t xml:space="preserve">not approved</w:t>
      </w:r>
      <w:r>
        <w:t xml:space="preserve"> </w:t>
      </w:r>
      <w:r>
        <w:t xml:space="preserve">until the required human/business/security control evidence exists.</w:t>
      </w:r>
    </w:p>
    <w:p>
      <w:pPr>
        <w:pStyle w:val="BodyText"/>
      </w:pPr>
      <w:r>
        <w:t xml:space="preserve">This runbook is an internal engineering control and is not a SAMA attestation.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PRODUCTION RELEASE ROLLBACK RUNBOOK 2026-10-07</dc:title>
  <dc:creator>HISN Platform</dc:creator>
  <cp:keywords>HISN, FCDOS, financial crime, decision operating system</cp:keywords>
  <dcterms:created xsi:type="dcterms:W3CDTF">2026-10-13T12:56:50Z</dcterms:created>
  <dcterms:modified xsi:type="dcterms:W3CDTF">2026-10-13T12:56:50Z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