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9" w:name="_bf97a2a4434990059c3574906123f027618306d"/>
      <w:r>
        <w:t xml:space="preserve">HISN — Runtime Architectural Shape &amp; Governing Rules</w:t>
      </w:r>
    </w:p>
    <w:p>
      <w:pPr>
        <w:pStyle w:val="FirstParagraph"/>
      </w:pPr>
      <w:r>
        <w:rPr>
          <w:b/>
          <w:bCs/>
        </w:rPr>
        <w:t xml:space="preserve">Baseline:</w:t>
      </w:r>
      <w:r>
        <w:t xml:space="preserve"> </w:t>
      </w:r>
      <w:r>
        <w:rPr>
          <w:rStyle w:val="VerbatimChar"/>
        </w:rPr>
        <w:t xml:space="preserve">452bb43990a47d7d576e6cc7a37d56375eed0280</w:t>
      </w:r>
      <w:r>
        <w:t xml:space="preserve"> </w:t>
      </w:r>
      <w:r>
        <w:rPr>
          <w:b/>
          <w:bCs/>
        </w:rPr>
        <w:t xml:space="preserve">Status:</w:t>
      </w:r>
      <w:r>
        <w:t xml:space="preserve"> </w:t>
      </w:r>
      <w:r>
        <w:t xml:space="preserve">Canonical architectural contract for runtime changes</w:t>
      </w:r>
      <w:r>
        <w:t xml:space="preserve"> </w:t>
      </w:r>
      <w:r>
        <w:rPr>
          <w:b/>
          <w:bCs/>
        </w:rPr>
        <w:t xml:space="preserve">Scope:</w:t>
      </w:r>
      <w:r>
        <w:t xml:space="preserve"> </w:t>
      </w:r>
      <w:r>
        <w:t xml:space="preserve">HISN backend runtime only; cross-repository governance remains owned by the Architecture Bible.</w:t>
      </w:r>
    </w:p>
    <w:p>
      <w:pPr>
        <w:pStyle w:val="BlockText"/>
      </w:pPr>
      <w:r>
        <w:rPr>
          <w:b/>
          <w:bCs/>
        </w:rPr>
        <w:t xml:space="preserve">FARES supplies facts. HISN owns decision authority. Intelligence enriches. Evidence proves. Audit records. Frontend presents. Architecture Bible governs.</w:t>
      </w:r>
    </w:p>
    <w:p>
      <w:pPr>
        <w:pStyle w:val="Heading2"/>
      </w:pPr>
      <w:bookmarkStart w:id="10" w:name="_af301277bf9078ec832f01a9d850714739f3486"/>
      <w:r>
        <w:t xml:space="preserve">Governing runtime shape</w:t>
      </w:r>
    </w:p>
    <w:p>
      <w:pPr>
        <w:pStyle w:val="SourceCode"/>
      </w:pPr>
      <w:r>
        <w:rPr>
          <w:rStyle w:val="VerbatimChar"/>
        </w:rPr>
        <w:t xml:space="preserve">Architecture Bible (governance)</w:t>
      </w:r>
      <w:r>
        <w:br/>
      </w:r>
      <w:r>
        <w:rPr>
          <w:rStyle w:val="VerbatimChar"/>
        </w:rPr>
        <w:t xml:space="preserve">          │</w:t>
      </w:r>
      <w:r>
        <w:br/>
      </w:r>
      <w:r>
        <w:rPr>
          <w:rStyle w:val="VerbatimChar"/>
        </w:rPr>
        <w:t xml:space="preserve"> FARES ──▶ HISN Runtime ◀── Frontend</w:t>
      </w:r>
      <w:r>
        <w:br/>
      </w:r>
      <w:r>
        <w:rPr>
          <w:rStyle w:val="VerbatimChar"/>
        </w:rPr>
        <w:t xml:space="preserve">              │</w:t>
      </w:r>
      <w:r>
        <w:br/>
      </w:r>
      <w:r>
        <w:rPr>
          <w:rStyle w:val="VerbatimChar"/>
        </w:rPr>
        <w:t xml:space="preserve">      ┌───────┴────────┐</w:t>
      </w:r>
      <w:r>
        <w:br/>
      </w:r>
      <w:r>
        <w:rPr>
          <w:rStyle w:val="VerbatimChar"/>
        </w:rPr>
        <w:t xml:space="preserve">      │                │</w:t>
      </w:r>
      <w:r>
        <w:br/>
      </w:r>
      <w:r>
        <w:rPr>
          <w:rStyle w:val="VerbatimChar"/>
        </w:rPr>
        <w:t xml:space="preserve">Decision Authority   Non-authoritative</w:t>
      </w:r>
      <w:r>
        <w:br/>
      </w:r>
      <w:r>
        <w:rPr>
          <w:rStyle w:val="VerbatimChar"/>
        </w:rPr>
        <w:t xml:space="preserve">      │             Intelligence / Control</w:t>
      </w:r>
      <w:r>
        <w:br/>
      </w:r>
      <w:r>
        <w:rPr>
          <w:rStyle w:val="VerbatimChar"/>
        </w:rPr>
        <w:t xml:space="preserve"> Engines + Policy      / Read Models</w:t>
      </w:r>
      <w:r>
        <w:br/>
      </w:r>
      <w:r>
        <w:rPr>
          <w:rStyle w:val="VerbatimChar"/>
        </w:rPr>
        <w:t xml:space="preserve">      │                │</w:t>
      </w:r>
      <w:r>
        <w:br/>
      </w:r>
      <w:r>
        <w:rPr>
          <w:rStyle w:val="VerbatimChar"/>
        </w:rPr>
        <w:t xml:space="preserve">      └───────┬────────┘</w:t>
      </w:r>
      <w:r>
        <w:br/>
      </w:r>
      <w:r>
        <w:rPr>
          <w:rStyle w:val="VerbatimChar"/>
        </w:rPr>
        <w:t xml:space="preserve">              ▼</w:t>
      </w:r>
      <w:r>
        <w:br/>
      </w:r>
      <w:r>
        <w:rPr>
          <w:rStyle w:val="VerbatimChar"/>
        </w:rPr>
        <w:t xml:space="preserve">      Decision DNA</w:t>
      </w:r>
      <w:r>
        <w:br/>
      </w:r>
      <w:r>
        <w:rPr>
          <w:rStyle w:val="VerbatimChar"/>
        </w:rPr>
        <w:t xml:space="preserve">              │</w:t>
      </w:r>
      <w:r>
        <w:br/>
      </w:r>
      <w:r>
        <w:rPr>
          <w:rStyle w:val="VerbatimChar"/>
        </w:rPr>
        <w:t xml:space="preserve">       Evidence / Provenance</w:t>
      </w:r>
      <w:r>
        <w:br/>
      </w:r>
      <w:r>
        <w:rPr>
          <w:rStyle w:val="VerbatimChar"/>
        </w:rPr>
        <w:t xml:space="preserve">              │</w:t>
      </w:r>
      <w:r>
        <w:br/>
      </w:r>
      <w:r>
        <w:rPr>
          <w:rStyle w:val="VerbatimChar"/>
        </w:rPr>
        <w:t xml:space="preserve">            Audit</w:t>
      </w:r>
      <w:r>
        <w:br/>
      </w:r>
      <w:r>
        <w:rPr>
          <w:rStyle w:val="VerbatimChar"/>
        </w:rPr>
        <w:t xml:space="preserve">              │</w:t>
      </w:r>
      <w:r>
        <w:br/>
      </w:r>
      <w:r>
        <w:rPr>
          <w:rStyle w:val="VerbatimChar"/>
        </w:rPr>
        <w:t xml:space="preserve">        Case / Workflow</w:t>
      </w:r>
    </w:p>
    <w:p>
      <w:pPr>
        <w:pStyle w:val="Heading3"/>
      </w:pPr>
      <w:bookmarkStart w:id="11" w:name="_1d344fe3b579ebaa6ce73098ca056cc24624c9a"/>
      <w:r>
        <w:t xml:space="preserve">Semantic boundaries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Decision Engines:</w:t>
      </w:r>
      <w:r>
        <w:t xml:space="preserve"> </w:t>
      </w:r>
      <w:r>
        <w:t xml:space="preserve">AML, Fraud, Sanctions, KYC, KYB, Graph. They produce governed risk signals and are registered exactly once in the Engine Registry.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Detection:</w:t>
      </w:r>
      <w:r>
        <w:t xml:space="preserve"> </w:t>
      </w:r>
      <w:r>
        <w:t xml:space="preserve">produces findings; it does not own the final decision.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Intelligence:</w:t>
      </w:r>
      <w:r>
        <w:t xml:space="preserve"> </w:t>
      </w:r>
      <w:r>
        <w:t xml:space="preserve">enriches and projects canonical outputs; it does not become an alternate decision path or mutate canonical Decision DNA.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Control Plane:</w:t>
      </w:r>
      <w:r>
        <w:t xml:space="preserve"> </w:t>
      </w:r>
      <w:r>
        <w:t xml:space="preserve">Scheduler, Rescreening, Regulatory Reporting, and Operational Readiness orchestrate or report operational state without becoming decision authority.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Presentation:</w:t>
      </w:r>
      <w:r>
        <w:t xml:space="preserve"> </w:t>
      </w:r>
      <w:r>
        <w:t xml:space="preserve">Frontend presents canonical APIs and does not own decision logic or direct database authority.</w:t>
      </w:r>
    </w:p>
    <w:p>
      <w:pPr>
        <w:pStyle w:val="Heading2"/>
      </w:pPr>
      <w:bookmarkStart w:id="12" w:name="_a1f7c095a95ed5f88db50da256fba67dd974df1"/>
      <w:r>
        <w:t xml:space="preserve">Canonical decision path</w:t>
      </w:r>
    </w:p>
    <w:p>
      <w:pPr>
        <w:pStyle w:val="SourceCode"/>
      </w:pPr>
      <w:r>
        <w:rPr>
          <w:rStyle w:val="VerbatimChar"/>
        </w:rPr>
        <w:t xml:space="preserve">REQUEST</w:t>
      </w:r>
      <w:r>
        <w:br/>
      </w:r>
      <w:r>
        <w:rPr>
          <w:rStyle w:val="VerbatimChar"/>
        </w:rPr>
        <w:t xml:space="preserve"> → AUTHENTICATE</w:t>
      </w:r>
      <w:r>
        <w:br/>
      </w:r>
      <w:r>
        <w:rPr>
          <w:rStyle w:val="VerbatimChar"/>
        </w:rPr>
        <w:t xml:space="preserve"> → AUTHORIZE + TENANT BIND</w:t>
      </w:r>
      <w:r>
        <w:br/>
      </w:r>
      <w:r>
        <w:rPr>
          <w:rStyle w:val="VerbatimChar"/>
        </w:rPr>
        <w:t xml:space="preserve"> → IDEMPOTENCY</w:t>
      </w:r>
      <w:r>
        <w:br/>
      </w:r>
      <w:r>
        <w:rPr>
          <w:rStyle w:val="VerbatimChar"/>
        </w:rPr>
        <w:t xml:space="preserve"> → CONTEXT / IDENTITY</w:t>
      </w:r>
      <w:r>
        <w:br/>
      </w:r>
      <w:r>
        <w:rPr>
          <w:rStyle w:val="VerbatimChar"/>
        </w:rPr>
        <w:t xml:space="preserve"> → SCREENING / PROVIDER BOUNDARIES</w:t>
      </w:r>
      <w:r>
        <w:br/>
      </w:r>
      <w:r>
        <w:rPr>
          <w:rStyle w:val="VerbatimChar"/>
        </w:rPr>
        <w:t xml:space="preserve"> → ENGINE FAN-OUT</w:t>
      </w:r>
      <w:r>
        <w:br/>
      </w:r>
      <w:r>
        <w:rPr>
          <w:rStyle w:val="VerbatimChar"/>
        </w:rPr>
        <w:t xml:space="preserve"> → DETECTION</w:t>
      </w:r>
      <w:r>
        <w:br/>
      </w:r>
      <w:r>
        <w:rPr>
          <w:rStyle w:val="VerbatimChar"/>
        </w:rPr>
        <w:t xml:space="preserve"> → RISK AGGREGATION</w:t>
      </w:r>
      <w:r>
        <w:br/>
      </w:r>
      <w:r>
        <w:rPr>
          <w:rStyle w:val="VerbatimChar"/>
        </w:rPr>
        <w:t xml:space="preserve"> → POLICY</w:t>
      </w:r>
      <w:r>
        <w:br/>
      </w:r>
      <w:r>
        <w:rPr>
          <w:rStyle w:val="VerbatimChar"/>
        </w:rPr>
        <w:t xml:space="preserve"> → DECISION</w:t>
      </w:r>
      <w:r>
        <w:br/>
      </w:r>
      <w:r>
        <w:rPr>
          <w:rStyle w:val="VerbatimChar"/>
        </w:rPr>
        <w:t xml:space="preserve"> → DECISION DNA + EVIDENCE + AUDIT</w:t>
      </w:r>
      <w:r>
        <w:br/>
      </w:r>
      <w:r>
        <w:rPr>
          <w:rStyle w:val="VerbatimChar"/>
        </w:rPr>
        <w:t xml:space="preserve"> → CASE / WORKFLOW</w:t>
      </w:r>
      <w:r>
        <w:br/>
      </w:r>
      <w:r>
        <w:rPr>
          <w:rStyle w:val="VerbatimChar"/>
        </w:rPr>
        <w:t xml:space="preserve"> → CANONICAL RESPONSE</w:t>
      </w:r>
    </w:p>
    <w:p>
      <w:pPr>
        <w:pStyle w:val="Heading2"/>
      </w:pPr>
      <w:bookmarkStart w:id="13" w:name="_laws"/>
      <w:r>
        <w:t xml:space="preserve">Laws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Single authority per semantic concern.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Detection ≠ Decision.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Fail closed at provider/control boundaries.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Evidence is immutable and attributable.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Tenant scope survives every boundary.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No duplicate runtime or alternate decision path.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No patch-on-patch architecture.</w:t>
      </w:r>
    </w:p>
    <w:p>
      <w:pPr>
        <w:pStyle w:val="Heading2"/>
      </w:pPr>
      <w:bookmarkStart w:id="14" w:name="_7d3e40fee41f1028ca9d393d2448acf01fdc332"/>
      <w:r>
        <w:t xml:space="preserve">Capability activation</w:t>
      </w:r>
    </w:p>
    <w:p>
      <w:pPr>
        <w:pStyle w:val="FirstParagraph"/>
      </w:pPr>
      <w:r>
        <w:t xml:space="preserve">The current canonical capability registry is:</w:t>
      </w:r>
    </w:p>
    <w:p>
      <w:pPr>
        <w:pStyle w:val="SourceCode"/>
      </w:pPr>
      <w:r>
        <w:rPr>
          <w:rStyle w:val="VerbatimChar"/>
        </w:rPr>
        <w:t xml:space="preserve">src/core/capabilities/activation.py</w:t>
      </w:r>
    </w:p>
    <w:p>
      <w:pPr>
        <w:pStyle w:val="FirstParagraph"/>
      </w:pPr>
      <w:r>
        <w:t xml:space="preserve">It contains the current 20-capability inventory. A compatibility view may exist elsewhere only if it delegates to that registry and maintains no second inventory or readiness authority.</w:t>
      </w:r>
    </w:p>
    <w:p>
      <w:pPr>
        <w:pStyle w:val="BodyText"/>
      </w:pPr>
      <w:r>
        <w:rPr>
          <w:b/>
          <w:bCs/>
        </w:rPr>
        <w:t xml:space="preserve">ACTIVE is architectural registration, not proof of production or end-to-end execution.</w:t>
      </w:r>
      <w:r>
        <w:t xml:space="preserve"> </w:t>
      </w:r>
      <w:r>
        <w:t xml:space="preserve">Bank-grade claims require separate runtime evidence.</w:t>
      </w:r>
    </w:p>
    <w:p>
      <w:pPr>
        <w:pStyle w:val="Heading2"/>
      </w:pPr>
      <w:bookmarkStart w:id="15" w:name="_01eb8081d18958e20d645623abb6b5f30c4389a"/>
      <w:r>
        <w:t xml:space="preserve">Extension gate</w:t>
      </w:r>
    </w:p>
    <w:p>
      <w:pPr>
        <w:pStyle w:val="FirstParagraph"/>
      </w:pPr>
      <w:r>
        <w:t xml:space="preserve">A new runtime capability must have:</w:t>
      </w:r>
    </w:p>
    <w:p>
      <w:pPr>
        <w:pStyle w:val="SourceCode"/>
      </w:pPr>
      <w:r>
        <w:rPr>
          <w:rStyle w:val="VerbatimChar"/>
        </w:rPr>
        <w:t xml:space="preserve">Owner → Contract → Runtime → Composition</w:t>
      </w:r>
      <w:r>
        <w:br/>
      </w:r>
      <w:r>
        <w:rPr>
          <w:rStyle w:val="VerbatimChar"/>
        </w:rPr>
        <w:t xml:space="preserve">→ Data → Evidence → Audit → Tests</w:t>
      </w:r>
    </w:p>
    <w:p>
      <w:pPr>
        <w:pStyle w:val="FirstParagraph"/>
      </w:pPr>
      <w:r>
        <w:t xml:space="preserve">and must preserve tenant boundaries, failure semantics, provenance, and single-authority composition.</w:t>
      </w:r>
    </w:p>
    <w:p>
      <w:pPr>
        <w:pStyle w:val="Heading2"/>
      </w:pPr>
      <w:bookmarkStart w:id="16" w:name="_042e0b0b7c5468a5cc5e9cb9dad027020ec34c2"/>
      <w:r>
        <w:t xml:space="preserve">Final engineering rule</w:t>
      </w:r>
    </w:p>
    <w:p>
      <w:pPr>
        <w:pStyle w:val="BlockText"/>
      </w:pPr>
      <w:r>
        <w:rPr>
          <w:b/>
          <w:bCs/>
        </w:rPr>
        <w:t xml:space="preserve">CODE → COMPOSITION → EXECUTION → EVIDENCE → AUDIT → TEST</w:t>
      </w:r>
    </w:p>
    <w:p>
      <w:pPr>
        <w:pStyle w:val="BlockText"/>
      </w:pPr>
      <w:r>
        <w:rPr>
          <w:b/>
          <w:bCs/>
        </w:rPr>
        <w:t xml:space="preserve">Intelligence enriches. Core decides. Evidence proves. Audit records.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Technology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HISN RUNTIME ARCHITECTURAL SHAPE 2026-10-02</dc:title>
  <dc:creator>HISN Platform</dc:creator>
  <cp:keywords>HISN, FCDOS, financial crime, decision operating system</cp:keywords>
  <dcterms:created xsi:type="dcterms:W3CDTF">2026-10-13T12:56:49Z</dcterms:created>
  <dcterms:modified xsi:type="dcterms:W3CDTF">2026-10-13T12:56:49Z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