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fdd5e93b7913f31687c8bb02562beaa96ae845e"/>
      <w:r>
        <w:t xml:space="preserve">HISN — Target Architecture Blueprint</w:t>
      </w:r>
    </w:p>
    <w:p>
      <w:pPr>
        <w:pStyle w:val="Heading2"/>
      </w:pPr>
      <w:bookmarkStart w:id="10" w:name="_d6dee838bc32e0e605d622d0ae60282a80952eb"/>
      <w:r>
        <w:t xml:space="preserve">Financial Crime Decision Operating System</w:t>
      </w:r>
    </w:p>
    <w:p>
      <w:pPr>
        <w:pStyle w:val="Heading3"/>
      </w:pPr>
      <w:bookmarkStart w:id="11" w:name="_908c2278496d3f89bc8b1b13c88ee1a7471d82f"/>
      <w:r>
        <w:t xml:space="preserve">The Ideal City — Full Blueprint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TARGET / NORTH STAR — architecture specification; not runtime proof</w:t>
      </w:r>
      <w:r>
        <w:t xml:space="preserve"> </w:t>
      </w:r>
      <w:r>
        <w:rPr>
          <w:b/>
          <w:bCs/>
        </w:rPr>
        <w:t xml:space="preserve">Observed Code Baseline:</w:t>
      </w:r>
      <w:r>
        <w:t xml:space="preserve"> </w:t>
      </w:r>
      <w:r>
        <w:t xml:space="preserve">f872d897</w:t>
      </w:r>
      <w:r>
        <w:t xml:space="preserve"> </w:t>
      </w:r>
      <w:r>
        <w:rPr>
          <w:b/>
          <w:bCs/>
        </w:rPr>
        <w:t xml:space="preserve">Authority ceiling:</w:t>
      </w:r>
      <w:r>
        <w:t xml:space="preserve"> </w:t>
      </w:r>
      <w:r>
        <w:t xml:space="preserve">regulation &gt; ADR &gt; security &gt; governance &gt; inventory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06caf174e6ab259eb486ece78d265a39497b853"/>
      <w:r>
        <w:t xml:space="preserve">§0 — North Star (Statement)</w:t>
      </w:r>
    </w:p>
    <w:p>
      <w:pPr>
        <w:pStyle w:val="BlockText"/>
      </w:pPr>
      <w:r>
        <w:rPr>
          <w:b/>
          <w:bCs/>
        </w:rPr>
        <w:t xml:space="preserve">HISN is a Financial Crime Decision Operating System delivered as a multi-tenant, white-label, contract-first modular monolith with pre-designed microservices extraction seams, banking-grade isolation, and evidence/audit sovereignty — adaptable to banking, insurance, exchange, and capital markets.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3" w:name="_ab00c9761027b68831ac88f873e45d984c78794"/>
      <w:r>
        <w:t xml:space="preserve">§1 — The City (Executive View)</w:t>
      </w:r>
    </w:p>
    <w:p>
      <w:pPr>
        <w:pStyle w:val="SourceCode"/>
      </w:pPr>
      <w:r>
        <w:rPr>
          <w:rStyle w:val="VerbatimChar"/>
        </w:rPr>
        <w:t xml:space="preserve">                    ╔═══════════════════════════════════════════════════╗</w:t>
      </w:r>
      <w:r>
        <w:br/>
      </w:r>
      <w:r>
        <w:rPr>
          <w:rStyle w:val="VerbatimChar"/>
        </w:rPr>
        <w:t xml:space="preserve">                    ║              HISN — FINANCIAL CRIME               ║</w:t>
      </w:r>
      <w:r>
        <w:br/>
      </w:r>
      <w:r>
        <w:rPr>
          <w:rStyle w:val="VerbatimChar"/>
        </w:rPr>
        <w:t xml:space="preserve">                    ║              DECISION OPERATING SYSTEM            ║</w:t>
      </w:r>
      <w:r>
        <w:br/>
      </w:r>
      <w:r>
        <w:rPr>
          <w:rStyle w:val="VerbatimChar"/>
        </w:rPr>
        <w:t xml:space="preserve">                    ╚═══════════════════════════════════════════════════╝</w:t>
      </w:r>
      <w:r>
        <w:br/>
      </w:r>
      <w:r>
        <w:rPr>
          <w:rStyle w:val="VerbatimChar"/>
        </w:rPr>
        <w:t xml:space="preserve">                                          │</w:t>
      </w:r>
      <w:r>
        <w:br/>
      </w:r>
      <w:r>
        <w:rPr>
          <w:rStyle w:val="VerbatimChar"/>
        </w:rPr>
        <w:t xml:space="preserve">                ┌─────────────────────────┼─────────────────────────┐</w:t>
      </w:r>
      <w:r>
        <w:br/>
      </w:r>
      <w:r>
        <w:rPr>
          <w:rStyle w:val="VerbatimChar"/>
        </w:rPr>
        <w:t xml:space="preserve">                │                         │                         │</w:t>
      </w:r>
      <w:r>
        <w:br/>
      </w:r>
      <w:r>
        <w:rPr>
          <w:rStyle w:val="VerbatimChar"/>
        </w:rPr>
        <w:t xml:space="preserve">        ┌───────▼───────┐         ┌───────▼───────┐         ┌───────▼───────┐</w:t>
      </w:r>
      <w:r>
        <w:br/>
      </w:r>
      <w:r>
        <w:rPr>
          <w:rStyle w:val="VerbatimChar"/>
        </w:rPr>
        <w:t xml:space="preserve">        │   BANKING     │         │   INSURANCE   │         │   EXCHANGE/   │</w:t>
      </w:r>
      <w:r>
        <w:br/>
      </w:r>
      <w:r>
        <w:rPr>
          <w:rStyle w:val="VerbatimChar"/>
        </w:rPr>
        <w:t xml:space="preserve">        │   (SAMA)      │         │  (SAMA/IA)    │         │   CAPITAL     │</w:t>
      </w:r>
      <w:r>
        <w:br/>
      </w:r>
      <w:r>
        <w:rPr>
          <w:rStyle w:val="VerbatimChar"/>
        </w:rPr>
        <w:t xml:space="preserve">        │               │         │               │         │   (CMA/SAMA)  │</w:t>
      </w:r>
      <w:r>
        <w:br/>
      </w:r>
      <w:r>
        <w:rPr>
          <w:rStyle w:val="VerbatimChar"/>
        </w:rPr>
        <w:t xml:space="preserve">        │  • Banks      │         │  • Insurers   │         │  • Markets    │</w:t>
      </w:r>
      <w:r>
        <w:br/>
      </w:r>
      <w:r>
        <w:rPr>
          <w:rStyle w:val="VerbatimChar"/>
        </w:rPr>
        <w:t xml:space="preserve">        │  • Fintech    │         │  • Brokers    │         │  • Exchanges  │</w:t>
      </w:r>
      <w:r>
        <w:br/>
      </w:r>
      <w:r>
        <w:rPr>
          <w:rStyle w:val="VerbatimChar"/>
        </w:rPr>
        <w:t xml:space="preserve">        │  • Payments   │         │  • Takaful    │         │  • Custodians │</w:t>
      </w:r>
      <w:r>
        <w:br/>
      </w:r>
      <w:r>
        <w:rPr>
          <w:rStyle w:val="VerbatimChar"/>
        </w:rPr>
        <w:t xml:space="preserve">        └───────┬───────┘         └───────┬───────┘         └───────┬───────┘</w:t>
      </w:r>
      <w:r>
        <w:br/>
      </w:r>
      <w:r>
        <w:rPr>
          <w:rStyle w:val="VerbatimChar"/>
        </w:rPr>
        <w:t xml:space="preserve">                │                         │                         │</w:t>
      </w:r>
      <w:r>
        <w:br/>
      </w:r>
      <w:r>
        <w:rPr>
          <w:rStyle w:val="VerbatimChar"/>
        </w:rPr>
        <w:t xml:space="preserve">                └─────────────────────────┼─────────────────────────┘</w:t>
      </w:r>
      <w:r>
        <w:br/>
      </w:r>
      <w:r>
        <w:rPr>
          <w:rStyle w:val="VerbatimChar"/>
        </w:rPr>
        <w:t xml:space="preserve">                                          │</w:t>
      </w:r>
      <w:r>
        <w:br/>
      </w:r>
      <w:r>
        <w:rPr>
          <w:rStyle w:val="VerbatimChar"/>
        </w:rPr>
        <w:t xml:space="preserve">                            ┌─────────────▼─────────────┐</w:t>
      </w:r>
      <w:r>
        <w:br/>
      </w:r>
      <w:r>
        <w:rPr>
          <w:rStyle w:val="VerbatimChar"/>
        </w:rPr>
        <w:t xml:space="preserve">                            │  TENANT / WHITE-LABEL     │</w:t>
      </w:r>
      <w:r>
        <w:br/>
      </w:r>
      <w:r>
        <w:rPr>
          <w:rStyle w:val="VerbatimChar"/>
        </w:rPr>
        <w:t xml:space="preserve">                            │  RLS • Context • Config   │</w:t>
      </w:r>
      <w:r>
        <w:br/>
      </w:r>
      <w:r>
        <w:rPr>
          <w:rStyle w:val="VerbatimChar"/>
        </w:rPr>
        <w:t xml:space="preserve">                            └─────────────┬─────────────┘</w:t>
      </w:r>
      <w:r>
        <w:br/>
      </w:r>
      <w:r>
        <w:rPr>
          <w:rStyle w:val="VerbatimChar"/>
        </w:rPr>
        <w:t xml:space="preserve">                                          │</w:t>
      </w:r>
      <w:r>
        <w:br/>
      </w:r>
      <w:r>
        <w:rPr>
          <w:rStyle w:val="VerbatimChar"/>
        </w:rPr>
        <w:t xml:space="preserve">                            ┌─────────────▼─────────────┐</w:t>
      </w:r>
      <w:r>
        <w:br/>
      </w:r>
      <w:r>
        <w:rPr>
          <w:rStyle w:val="VerbatimChar"/>
        </w:rPr>
        <w:t xml:space="preserve">                            │   EDGE / AUTH / TENANT    │</w:t>
      </w:r>
      <w:r>
        <w:br/>
      </w:r>
      <w:r>
        <w:rPr>
          <w:rStyle w:val="VerbatimChar"/>
        </w:rPr>
        <w:t xml:space="preserve">                            │   mTLS • JWT • Rate Limit │</w:t>
      </w:r>
      <w:r>
        <w:br/>
      </w:r>
      <w:r>
        <w:rPr>
          <w:rStyle w:val="VerbatimChar"/>
        </w:rPr>
        <w:t xml:space="preserve">                            └─────────────┬─────────────┘</w:t>
      </w:r>
      <w:r>
        <w:br/>
      </w:r>
      <w:r>
        <w:rPr>
          <w:rStyle w:val="VerbatimChar"/>
        </w:rPr>
        <w:t xml:space="preserve">                                          │</w:t>
      </w:r>
      <w:r>
        <w:br/>
      </w:r>
      <w:r>
        <w:rPr>
          <w:rStyle w:val="VerbatimChar"/>
        </w:rPr>
        <w:t xml:space="preserve">                            ┌─────────────▼─────────────┐</w:t>
      </w:r>
      <w:r>
        <w:br/>
      </w:r>
      <w:r>
        <w:rPr>
          <w:rStyle w:val="VerbatimChar"/>
        </w:rPr>
        <w:t xml:space="preserve">                            │           API              │</w:t>
      </w:r>
      <w:r>
        <w:br/>
      </w:r>
      <w:r>
        <w:rPr>
          <w:rStyle w:val="VerbatimChar"/>
        </w:rPr>
        <w:t xml:space="preserve">                            │   (transport only)        │</w:t>
      </w:r>
      <w:r>
        <w:br/>
      </w:r>
      <w:r>
        <w:rPr>
          <w:rStyle w:val="VerbatimChar"/>
        </w:rPr>
        <w:t xml:space="preserve">                            └─────────────┬─────────────┘</w:t>
      </w:r>
      <w:r>
        <w:br/>
      </w:r>
      <w:r>
        <w:rPr>
          <w:rStyle w:val="VerbatimChar"/>
        </w:rPr>
        <w:t xml:space="preserve">                                          │</w:t>
      </w:r>
      <w:r>
        <w:br/>
      </w:r>
      <w:r>
        <w:rPr>
          <w:rStyle w:val="VerbatimChar"/>
        </w:rPr>
        <w:t xml:space="preserve">                            ┌─────────────▼─────────────┐</w:t>
      </w:r>
      <w:r>
        <w:br/>
      </w:r>
      <w:r>
        <w:rPr>
          <w:rStyle w:val="VerbatimChar"/>
        </w:rPr>
        <w:t xml:space="preserve">                            │        BOOTSTRAP          │</w:t>
      </w:r>
      <w:r>
        <w:br/>
      </w:r>
      <w:r>
        <w:rPr>
          <w:rStyle w:val="VerbatimChar"/>
        </w:rPr>
        <w:t xml:space="preserve">                            │   (composition only)      │</w:t>
      </w:r>
      <w:r>
        <w:br/>
      </w:r>
      <w:r>
        <w:rPr>
          <w:rStyle w:val="VerbatimChar"/>
        </w:rPr>
        <w:t xml:space="preserve">                            └─────────────┬─────────────┘</w:t>
      </w:r>
      <w:r>
        <w:br/>
      </w:r>
      <w:r>
        <w:rPr>
          <w:rStyle w:val="VerbatimChar"/>
        </w:rPr>
        <w:t xml:space="preserve">                                          │</w:t>
      </w:r>
      <w:r>
        <w:br/>
      </w:r>
      <w:r>
        <w:rPr>
          <w:rStyle w:val="VerbatimChar"/>
        </w:rPr>
        <w:t xml:space="preserve">              ┌───────────────────────────┼───────────────────────────┐</w:t>
      </w:r>
      <w:r>
        <w:br/>
      </w:r>
      <w:r>
        <w:rPr>
          <w:rStyle w:val="VerbatimChar"/>
        </w:rPr>
        <w:t xml:space="preserve">              │                           │                           │</w:t>
      </w:r>
      <w:r>
        <w:br/>
      </w:r>
      <w:r>
        <w:rPr>
          <w:rStyle w:val="VerbatimChar"/>
        </w:rPr>
        <w:t xml:space="preserve">      ┌───────▼────────┐         ┌────────▼─────────┐       ┌────────▼────────┐</w:t>
      </w:r>
      <w:r>
        <w:br/>
      </w:r>
      <w:r>
        <w:rPr>
          <w:rStyle w:val="VerbatimChar"/>
        </w:rPr>
        <w:t xml:space="preserve">      │    ENGINES     │         │     DOMAINS      │       │    PLATFORM     │</w:t>
      </w:r>
      <w:r>
        <w:br/>
      </w:r>
      <w:r>
        <w:rPr>
          <w:rStyle w:val="VerbatimChar"/>
        </w:rPr>
        <w:t xml:space="preserve">      │  decision      │◄────────│   business       │       │   support       │</w:t>
      </w:r>
      <w:r>
        <w:br/>
      </w:r>
      <w:r>
        <w:rPr>
          <w:rStyle w:val="VerbatimChar"/>
        </w:rPr>
        <w:t xml:space="preserve">      │  execution     │contracts│   ownership      │       │   cross-cutting │</w:t>
      </w:r>
      <w:r>
        <w:br/>
      </w:r>
      <w:r>
        <w:rPr>
          <w:rStyle w:val="VerbatimChar"/>
        </w:rPr>
        <w:t xml:space="preserve">      └───────┬────────┘         └────────┬─────────┘       └────────┬────────┘</w:t>
      </w:r>
      <w:r>
        <w:br/>
      </w:r>
      <w:r>
        <w:rPr>
          <w:rStyle w:val="VerbatimChar"/>
        </w:rPr>
        <w:t xml:space="preserve">              │                           │                           │</w:t>
      </w:r>
      <w:r>
        <w:br/>
      </w:r>
      <w:r>
        <w:rPr>
          <w:rStyle w:val="VerbatimChar"/>
        </w:rPr>
        <w:t xml:space="preserve">              └───────────────────────────┼───────────────────────────┘</w:t>
      </w:r>
      <w:r>
        <w:br/>
      </w:r>
      <w:r>
        <w:rPr>
          <w:rStyle w:val="VerbatimChar"/>
        </w:rPr>
        <w:t xml:space="preserve">                                          │</w:t>
      </w:r>
      <w:r>
        <w:br/>
      </w:r>
      <w:r>
        <w:rPr>
          <w:rStyle w:val="VerbatimChar"/>
        </w:rPr>
        <w:t xml:space="preserve">                            ┌─────────────▼─────────────┐</w:t>
      </w:r>
      <w:r>
        <w:br/>
      </w:r>
      <w:r>
        <w:rPr>
          <w:rStyle w:val="VerbatimChar"/>
        </w:rPr>
        <w:t xml:space="preserve">                            │           CORE            │</w:t>
      </w:r>
      <w:r>
        <w:br/>
      </w:r>
      <w:r>
        <w:rPr>
          <w:rStyle w:val="VerbatimChar"/>
        </w:rPr>
        <w:t xml:space="preserve">                            │  primitives • contracts   │</w:t>
      </w:r>
      <w:r>
        <w:br/>
      </w:r>
      <w:r>
        <w:rPr>
          <w:rStyle w:val="VerbatimChar"/>
        </w:rPr>
        <w:t xml:space="preserve">                            │  kernel • runtime • reg   │</w:t>
      </w:r>
      <w:r>
        <w:br/>
      </w:r>
      <w:r>
        <w:rPr>
          <w:rStyle w:val="VerbatimChar"/>
        </w:rPr>
        <w:t xml:space="preserve">                            └─────────────┬─────────────┘</w:t>
      </w:r>
      <w:r>
        <w:br/>
      </w:r>
      <w:r>
        <w:rPr>
          <w:rStyle w:val="VerbatimChar"/>
        </w:rPr>
        <w:t xml:space="preserve">                                          │</w:t>
      </w:r>
      <w:r>
        <w:br/>
      </w:r>
      <w:r>
        <w:rPr>
          <w:rStyle w:val="VerbatimChar"/>
        </w:rPr>
        <w:t xml:space="preserve">                            ┌─────────────▼─────────────┐</w:t>
      </w:r>
      <w:r>
        <w:br/>
      </w:r>
      <w:r>
        <w:rPr>
          <w:rStyle w:val="VerbatimChar"/>
        </w:rPr>
        <w:t xml:space="preserve">                            │      DATA / STORAGE       │</w:t>
      </w:r>
      <w:r>
        <w:br/>
      </w:r>
      <w:r>
        <w:rPr>
          <w:rStyle w:val="VerbatimChar"/>
        </w:rPr>
        <w:t xml:space="preserve">                            │   PostgreSQL • RLS • S3   │</w:t>
      </w:r>
      <w:r>
        <w:br/>
      </w:r>
      <w:r>
        <w:rPr>
          <w:rStyle w:val="VerbatimChar"/>
        </w:rPr>
        <w:t xml:space="preserve">                            │   Redis • Message Bus     │</w:t>
      </w:r>
      <w:r>
        <w:br/>
      </w:r>
      <w:r>
        <w:rPr>
          <w:rStyle w:val="VerbatimChar"/>
        </w:rPr>
        <w:t xml:space="preserve">                            └───────────────────────────┘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4" w:name="_9d1dfb49c61d63563661b04d51a0f9a1ada38b1"/>
      <w:r>
        <w:t xml:space="preserve">§2 — The Spine (Decision Operating Flow)</w:t>
      </w:r>
    </w:p>
    <w:p>
      <w:pPr>
        <w:pStyle w:val="FirstParagraph"/>
      </w:pPr>
      <w:r>
        <w:rPr>
          <w:b/>
          <w:bCs/>
        </w:rPr>
        <w:t xml:space="preserve">هذا هو العمود الفقري. كل شيء يركب عليه.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                    THE DECISION OPERATING SPINE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    │</w:t>
      </w:r>
      <w:r>
        <w:br/>
      </w:r>
      <w:r>
        <w:rPr>
          <w:rStyle w:val="VerbatimChar"/>
        </w:rPr>
        <w:t xml:space="preserve">│   INGEST                                                                │</w:t>
      </w:r>
      <w:r>
        <w:br/>
      </w:r>
      <w:r>
        <w:rPr>
          <w:rStyle w:val="VerbatimChar"/>
        </w:rPr>
        <w:t xml:space="preserve">│      │                                                                  │</w:t>
      </w:r>
      <w:r>
        <w:br/>
      </w:r>
      <w:r>
        <w:rPr>
          <w:rStyle w:val="VerbatimChar"/>
        </w:rPr>
        <w:t xml:space="preserve">│      ▼                                                                  │</w:t>
      </w:r>
      <w:r>
        <w:br/>
      </w:r>
      <w:r>
        <w:rPr>
          <w:rStyle w:val="VerbatimChar"/>
        </w:rPr>
        <w:t xml:space="preserve">│   ╔═══════════════════════════════════════════════════════╗            │</w:t>
      </w:r>
      <w:r>
        <w:br/>
      </w:r>
      <w:r>
        <w:rPr>
          <w:rStyle w:val="VerbatimChar"/>
        </w:rPr>
        <w:t xml:space="preserve">│   ║ 01  EVENT / CUSTOMER / BUSINESS / TRANSACTION         ║            │</w:t>
      </w:r>
      <w:r>
        <w:br/>
      </w:r>
      <w:r>
        <w:rPr>
          <w:rStyle w:val="VerbatimChar"/>
        </w:rPr>
        <w:t xml:space="preserve">│   ║     source: channels, providers, internal systems     ║            │</w:t>
      </w:r>
      <w:r>
        <w:br/>
      </w:r>
      <w:r>
        <w:rPr>
          <w:rStyle w:val="VerbatimChar"/>
        </w:rPr>
        <w:t xml:space="preserve">│   ╚═══════════════════════════╤═══════════════════════════╝            │</w:t>
      </w:r>
      <w:r>
        <w:br/>
      </w:r>
      <w:r>
        <w:rPr>
          <w:rStyle w:val="VerbatimChar"/>
        </w:rPr>
        <w:t xml:space="preserve">│                               ▼                                         │</w:t>
      </w:r>
      <w:r>
        <w:br/>
      </w:r>
      <w:r>
        <w:rPr>
          <w:rStyle w:val="VerbatimChar"/>
        </w:rPr>
        <w:t xml:space="preserve">│   ╔═══════════════════════════════════════════════════════╗            │</w:t>
      </w:r>
      <w:r>
        <w:br/>
      </w:r>
      <w:r>
        <w:rPr>
          <w:rStyle w:val="VerbatimChar"/>
        </w:rPr>
        <w:t xml:space="preserve">│   ║ 02  CONTEXT BUILDING                                  ║            │</w:t>
      </w:r>
      <w:r>
        <w:br/>
      </w:r>
      <w:r>
        <w:rPr>
          <w:rStyle w:val="VerbatimChar"/>
        </w:rPr>
        <w:t xml:space="preserve">│   ║     entity resolution • history • tenancy • policy    ║            │</w:t>
      </w:r>
      <w:r>
        <w:br/>
      </w:r>
      <w:r>
        <w:rPr>
          <w:rStyle w:val="VerbatimChar"/>
        </w:rPr>
        <w:t xml:space="preserve">│   ╚═══════════════════════════╤═══════════════════════════╝            │</w:t>
      </w:r>
      <w:r>
        <w:br/>
      </w:r>
      <w:r>
        <w:rPr>
          <w:rStyle w:val="VerbatimChar"/>
        </w:rPr>
        <w:t xml:space="preserve">│                               ▼                                         │</w:t>
      </w:r>
      <w:r>
        <w:br/>
      </w:r>
      <w:r>
        <w:rPr>
          <w:rStyle w:val="VerbatimChar"/>
        </w:rPr>
        <w:t xml:space="preserve">│   ╔═══════════════════════════════════════════════════════╗            │</w:t>
      </w:r>
      <w:r>
        <w:br/>
      </w:r>
      <w:r>
        <w:rPr>
          <w:rStyle w:val="VerbatimChar"/>
        </w:rPr>
        <w:t xml:space="preserve">│   ║ 03  IDENTITY (KYC / KYB / UBO)                        ║            │</w:t>
      </w:r>
      <w:r>
        <w:br/>
      </w:r>
      <w:r>
        <w:rPr>
          <w:rStyle w:val="VerbatimChar"/>
        </w:rPr>
        <w:t xml:space="preserve">│   ║     customer • business • ownership disclosure        ║            │</w:t>
      </w:r>
      <w:r>
        <w:br/>
      </w:r>
      <w:r>
        <w:rPr>
          <w:rStyle w:val="VerbatimChar"/>
        </w:rPr>
        <w:t xml:space="preserve">│   ╚═══════════════════════════╤═══════════════════════════╝            │</w:t>
      </w:r>
      <w:r>
        <w:br/>
      </w:r>
      <w:r>
        <w:rPr>
          <w:rStyle w:val="VerbatimChar"/>
        </w:rPr>
        <w:t xml:space="preserve">│                               ▼                                         │</w:t>
      </w:r>
      <w:r>
        <w:br/>
      </w:r>
      <w:r>
        <w:rPr>
          <w:rStyle w:val="VerbatimChar"/>
        </w:rPr>
        <w:t xml:space="preserve">│   ╔═══════════════════════════════════════════════════════╗            │</w:t>
      </w:r>
      <w:r>
        <w:br/>
      </w:r>
      <w:r>
        <w:rPr>
          <w:rStyle w:val="VerbatimChar"/>
        </w:rPr>
        <w:t xml:space="preserve">│   ║ 04  SCREENING (PEP / SANCTIONS)                       ║            │</w:t>
      </w:r>
      <w:r>
        <w:br/>
      </w:r>
      <w:r>
        <w:rPr>
          <w:rStyle w:val="VerbatimChar"/>
        </w:rPr>
        <w:t xml:space="preserve">│   ║     lists • matches • dispositions                    ║            │</w:t>
      </w:r>
      <w:r>
        <w:br/>
      </w:r>
      <w:r>
        <w:rPr>
          <w:rStyle w:val="VerbatimChar"/>
        </w:rPr>
        <w:t xml:space="preserve">│   ╚═══════════════════════════╤═══════════════════════════╝            │</w:t>
      </w:r>
      <w:r>
        <w:br/>
      </w:r>
      <w:r>
        <w:rPr>
          <w:rStyle w:val="VerbatimChar"/>
        </w:rPr>
        <w:t xml:space="preserve">│                               ▼                                         │</w:t>
      </w:r>
      <w:r>
        <w:br/>
      </w:r>
      <w:r>
        <w:rPr>
          <w:rStyle w:val="VerbatimChar"/>
        </w:rPr>
        <w:t xml:space="preserve">│   ╔═══════════════════════════════════════════════════════╗            │</w:t>
      </w:r>
      <w:r>
        <w:br/>
      </w:r>
      <w:r>
        <w:rPr>
          <w:rStyle w:val="VerbatimChar"/>
        </w:rPr>
        <w:t xml:space="preserve">│   ║ 05  DETECTION (AML / FRAUD + SUPPORT)                 ║            │</w:t>
      </w:r>
      <w:r>
        <w:br/>
      </w:r>
      <w:r>
        <w:rPr>
          <w:rStyle w:val="VerbatimChar"/>
        </w:rPr>
        <w:t xml:space="preserve">│   ║     rules • ML • behavior • anomaly • predict         ║            │</w:t>
      </w:r>
      <w:r>
        <w:br/>
      </w:r>
      <w:r>
        <w:rPr>
          <w:rStyle w:val="VerbatimChar"/>
        </w:rPr>
        <w:t xml:space="preserve">│   ╚═══════════════════════════╤═══════════════════════════╝            │</w:t>
      </w:r>
      <w:r>
        <w:br/>
      </w:r>
      <w:r>
        <w:rPr>
          <w:rStyle w:val="VerbatimChar"/>
        </w:rPr>
        <w:t xml:space="preserve">│                               ▼                                         │</w:t>
      </w:r>
      <w:r>
        <w:br/>
      </w:r>
      <w:r>
        <w:rPr>
          <w:rStyle w:val="VerbatimChar"/>
        </w:rPr>
        <w:t xml:space="preserve">│   ╔═══════════════════════════════════════════════════════╗            │</w:t>
      </w:r>
      <w:r>
        <w:br/>
      </w:r>
      <w:r>
        <w:rPr>
          <w:rStyle w:val="VerbatimChar"/>
        </w:rPr>
        <w:t xml:space="preserve">│   ║ 06  GRAPH                                             ║            │</w:t>
      </w:r>
      <w:r>
        <w:br/>
      </w:r>
      <w:r>
        <w:rPr>
          <w:rStyle w:val="VerbatimChar"/>
        </w:rPr>
        <w:t xml:space="preserve">│   ║     entities • relationships • circular • communities ║            │</w:t>
      </w:r>
      <w:r>
        <w:br/>
      </w:r>
      <w:r>
        <w:rPr>
          <w:rStyle w:val="VerbatimChar"/>
        </w:rPr>
        <w:t xml:space="preserve">│   ╚═══════════════════════════╤═══════════════════════════╝            │</w:t>
      </w:r>
      <w:r>
        <w:br/>
      </w:r>
      <w:r>
        <w:rPr>
          <w:rStyle w:val="VerbatimChar"/>
        </w:rPr>
        <w:t xml:space="preserve">│                               ▼                                         │</w:t>
      </w:r>
      <w:r>
        <w:br/>
      </w:r>
      <w:r>
        <w:rPr>
          <w:rStyle w:val="VerbatimChar"/>
        </w:rPr>
        <w:t xml:space="preserve">│   ╔═══════════════════════════════════════════════════════╗            │</w:t>
      </w:r>
      <w:r>
        <w:br/>
      </w:r>
      <w:r>
        <w:rPr>
          <w:rStyle w:val="VerbatimChar"/>
        </w:rPr>
        <w:t xml:space="preserve">│   ║ 07  RISK + POLICY                                     ║            │</w:t>
      </w:r>
      <w:r>
        <w:br/>
      </w:r>
      <w:r>
        <w:rPr>
          <w:rStyle w:val="VerbatimChar"/>
        </w:rPr>
        <w:t xml:space="preserve">│   ║     scoring • thresholds • policy envelope            ║            │</w:t>
      </w:r>
      <w:r>
        <w:br/>
      </w:r>
      <w:r>
        <w:rPr>
          <w:rStyle w:val="VerbatimChar"/>
        </w:rPr>
        <w:t xml:space="preserve">│   ╚═══════════════════════════╤═══════════════════════════╝            │</w:t>
      </w:r>
      <w:r>
        <w:br/>
      </w:r>
      <w:r>
        <w:rPr>
          <w:rStyle w:val="VerbatimChar"/>
        </w:rPr>
        <w:t xml:space="preserve">│                               ▼                                         │</w:t>
      </w:r>
      <w:r>
        <w:br/>
      </w:r>
      <w:r>
        <w:rPr>
          <w:rStyle w:val="VerbatimChar"/>
        </w:rPr>
        <w:t xml:space="preserve">│   ╔═══════════════════════════════════════════════════════╗            │</w:t>
      </w:r>
      <w:r>
        <w:br/>
      </w:r>
      <w:r>
        <w:rPr>
          <w:rStyle w:val="VerbatimChar"/>
        </w:rPr>
        <w:t xml:space="preserve">│   ║ 08  DECISION ENGINE                                   ║            │</w:t>
      </w:r>
      <w:r>
        <w:br/>
      </w:r>
      <w:r>
        <w:rPr>
          <w:rStyle w:val="VerbatimChar"/>
        </w:rPr>
        <w:t xml:space="preserve">│   ║     governed decision • reasoning • confidence        ║            │</w:t>
      </w:r>
      <w:r>
        <w:br/>
      </w:r>
      <w:r>
        <w:rPr>
          <w:rStyle w:val="VerbatimChar"/>
        </w:rPr>
        <w:t xml:space="preserve">│   ╚═══════════════════════════╤═══════════════════════════╝            │</w:t>
      </w:r>
      <w:r>
        <w:br/>
      </w:r>
      <w:r>
        <w:rPr>
          <w:rStyle w:val="VerbatimChar"/>
        </w:rPr>
        <w:t xml:space="preserve">│                               ▼                                         │</w:t>
      </w:r>
      <w:r>
        <w:br/>
      </w:r>
      <w:r>
        <w:rPr>
          <w:rStyle w:val="VerbatimChar"/>
        </w:rPr>
        <w:t xml:space="preserve">│   ╔═══════════════════════════════════════════════════════╗            │</w:t>
      </w:r>
      <w:r>
        <w:br/>
      </w:r>
      <w:r>
        <w:rPr>
          <w:rStyle w:val="VerbatimChar"/>
        </w:rPr>
        <w:t xml:space="preserve">│   ║ 09  DECISION DNA + EVIDENCE                           ║            │</w:t>
      </w:r>
      <w:r>
        <w:br/>
      </w:r>
      <w:r>
        <w:rPr>
          <w:rStyle w:val="VerbatimChar"/>
        </w:rPr>
        <w:t xml:space="preserve">│   ║     immutable • hash-chained • reproducible           ║            │</w:t>
      </w:r>
      <w:r>
        <w:br/>
      </w:r>
      <w:r>
        <w:rPr>
          <w:rStyle w:val="VerbatimChar"/>
        </w:rPr>
        <w:t xml:space="preserve">│   ╚═══════════════════════════╤═══════════════════════════╝            │</w:t>
      </w:r>
      <w:r>
        <w:br/>
      </w:r>
      <w:r>
        <w:rPr>
          <w:rStyle w:val="VerbatimChar"/>
        </w:rPr>
        <w:t xml:space="preserve">│                               ▼                                         │</w:t>
      </w:r>
      <w:r>
        <w:br/>
      </w:r>
      <w:r>
        <w:rPr>
          <w:rStyle w:val="VerbatimChar"/>
        </w:rPr>
        <w:t xml:space="preserve">│   ╔═══════════════════════════════════════════════════════╗            │</w:t>
      </w:r>
      <w:r>
        <w:br/>
      </w:r>
      <w:r>
        <w:rPr>
          <w:rStyle w:val="VerbatimChar"/>
        </w:rPr>
        <w:t xml:space="preserve">│   ║ 10  AUDIT + CASE / ACTION                             ║            │</w:t>
      </w:r>
      <w:r>
        <w:br/>
      </w:r>
      <w:r>
        <w:rPr>
          <w:rStyle w:val="VerbatimChar"/>
        </w:rPr>
        <w:t xml:space="preserve">│   ║     ledger • investigation • reporting • escalation   ║            │</w:t>
      </w:r>
      <w:r>
        <w:br/>
      </w:r>
      <w:r>
        <w:rPr>
          <w:rStyle w:val="VerbatimChar"/>
        </w:rPr>
        <w:t xml:space="preserve">│   ╚═══════════════════════════╤═══════════════════════════╝            │</w:t>
      </w:r>
      <w:r>
        <w:br/>
      </w:r>
      <w:r>
        <w:rPr>
          <w:rStyle w:val="VerbatimChar"/>
        </w:rPr>
        <w:t xml:space="preserve">│                               ▼                                         │</w:t>
      </w:r>
      <w:r>
        <w:br/>
      </w:r>
      <w:r>
        <w:rPr>
          <w:rStyle w:val="VerbatimChar"/>
        </w:rPr>
        <w:t xml:space="preserve">│   ╔═══════════════════════════════════════════════════════╗            │</w:t>
      </w:r>
      <w:r>
        <w:br/>
      </w:r>
      <w:r>
        <w:rPr>
          <w:rStyle w:val="VerbatimChar"/>
        </w:rPr>
        <w:t xml:space="preserve">│   ║ 11  EXECUTIVE / OPERATIONS                            ║            │</w:t>
      </w:r>
      <w:r>
        <w:br/>
      </w:r>
      <w:r>
        <w:rPr>
          <w:rStyle w:val="VerbatimChar"/>
        </w:rPr>
        <w:t xml:space="preserve">│   ║     command center • dashboards • SLAs • reg reports  ║            │</w:t>
      </w:r>
      <w:r>
        <w:br/>
      </w:r>
      <w:r>
        <w:rPr>
          <w:rStyle w:val="VerbatimChar"/>
        </w:rPr>
        <w:t xml:space="preserve">│   ╚═══════════════════════════════════════════════════════╝            │</w:t>
      </w:r>
      <w:r>
        <w:br/>
      </w:r>
      <w:r>
        <w:rPr>
          <w:rStyle w:val="VerbatimChar"/>
        </w:rPr>
        <w:t xml:space="preserve">│    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└─────────────────────────────────────────────────────────────────────────┘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5" w:name="_5c4af221888f4a289bc3eafbe10c0c9ce66ffe9"/>
      <w:r>
        <w:t xml:space="preserve">§3 — Everything Mounted on the Spine</w:t>
      </w:r>
    </w:p>
    <w:p>
      <w:pPr>
        <w:pStyle w:val="FirstParagraph"/>
      </w:pPr>
      <w:r>
        <w:rPr>
          <w:b/>
          <w:bCs/>
        </w:rPr>
        <w:t xml:space="preserve">الآن نركّب كل شيء مدفون على هذا العمود الفقري.</w:t>
      </w:r>
    </w:p>
    <w:p>
      <w:pPr>
        <w:pStyle w:val="Heading3"/>
      </w:pPr>
      <w:bookmarkStart w:id="16" w:name="_e6f13b9baff3de0295bcf163a2723d59b892a51"/>
      <w:r>
        <w:t xml:space="preserve">Stage 01 — INGEST / EVENT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STAGE 01 — INGESTION &amp; EVENT SOURCING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CURRENT SOURCES (as-is):                                           │</w:t>
      </w:r>
      <w:r>
        <w:br/>
      </w:r>
      <w:r>
        <w:rPr>
          <w:rStyle w:val="VerbatimChar"/>
        </w:rPr>
        <w:t xml:space="preserve">│    ├── services/ingestion/          (ACTIVE)                        │</w:t>
      </w:r>
      <w:r>
        <w:br/>
      </w:r>
      <w:r>
        <w:rPr>
          <w:rStyle w:val="VerbatimChar"/>
        </w:rPr>
        <w:t xml:space="preserve">│    ├── src/api/ingestion.py         (HTTP boundary)                 │</w:t>
      </w:r>
      <w:r>
        <w:br/>
      </w:r>
      <w:r>
        <w:rPr>
          <w:rStyle w:val="VerbatimChar"/>
        </w:rPr>
        <w:t xml:space="preserve">│    ├── services/adapters/           (paysim, others)                │</w:t>
      </w:r>
      <w:r>
        <w:br/>
      </w:r>
      <w:r>
        <w:rPr>
          <w:rStyle w:val="VerbatimChar"/>
        </w:rPr>
        <w:t xml:space="preserve">│    └── adapters/paysim_adapter.py   (direct)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TARGET:                                                            │</w:t>
      </w:r>
      <w:r>
        <w:br/>
      </w:r>
      <w:r>
        <w:rPr>
          <w:rStyle w:val="VerbatimChar"/>
        </w:rPr>
        <w:t xml:space="preserve">│    ├── src/platform/ingestion/                                      │</w:t>
      </w:r>
      <w:r>
        <w:br/>
      </w:r>
      <w:r>
        <w:rPr>
          <w:rStyle w:val="VerbatimChar"/>
        </w:rPr>
        <w:t xml:space="preserve">│    ├── src/platform/adapters/                                       │</w:t>
      </w:r>
      <w:r>
        <w:br/>
      </w:r>
      <w:r>
        <w:rPr>
          <w:rStyle w:val="VerbatimChar"/>
        </w:rPr>
        <w:t xml:space="preserve">│    └── src/core/events/             (dispatcher — TARGET)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CONTRACTS:  ingestion_contract, event_contract                     │</w:t>
      </w:r>
      <w:r>
        <w:br/>
      </w:r>
      <w:r>
        <w:rPr>
          <w:rStyle w:val="VerbatimChar"/>
        </w:rPr>
        <w:t xml:space="preserve">│  EVENTS:     transaction.received, customer.updated, ...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INTEGRATIONS (banking):                                            │</w:t>
      </w:r>
      <w:r>
        <w:br/>
      </w:r>
      <w:r>
        <w:rPr>
          <w:rStyle w:val="VerbatimChar"/>
        </w:rPr>
        <w:t xml:space="preserve">│    • Core Banking (ISO 20022, MT940/MT942)                          │</w:t>
      </w:r>
      <w:r>
        <w:br/>
      </w:r>
      <w:r>
        <w:rPr>
          <w:rStyle w:val="VerbatimChar"/>
        </w:rPr>
        <w:t xml:space="preserve">│    • Payment gateways (SARIE, Mada, SWIFT)                          │</w:t>
      </w:r>
      <w:r>
        <w:br/>
      </w:r>
      <w:r>
        <w:rPr>
          <w:rStyle w:val="VerbatimChar"/>
        </w:rPr>
        <w:t xml:space="preserve">│    • Card networks                                                  │</w:t>
      </w:r>
      <w:r>
        <w:br/>
      </w:r>
      <w:r>
        <w:rPr>
          <w:rStyle w:val="VerbatimChar"/>
        </w:rPr>
        <w:t xml:space="preserve">│    • Fraud feeds                                                    │</w:t>
      </w:r>
      <w:r>
        <w:br/>
      </w:r>
      <w:r>
        <w:rPr>
          <w:rStyle w:val="VerbatimChar"/>
        </w:rPr>
        <w:t xml:space="preserve">│    • Insurance claims feed                                          │</w:t>
      </w:r>
      <w:r>
        <w:br/>
      </w:r>
      <w:r>
        <w:rPr>
          <w:rStyle w:val="VerbatimChar"/>
        </w:rPr>
        <w:t xml:space="preserve">│    • Exchange trade feed      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Heading3"/>
      </w:pPr>
      <w:bookmarkStart w:id="17" w:name="_fe5bbf445abf0f9a29092b389e97884db86a2d8"/>
      <w:r>
        <w:t xml:space="preserve">Stage 02 — CONTEXT BUILDING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STAGE 02 — CONTEXT BUILDING        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CURRENT (as-is):                                                   │</w:t>
      </w:r>
      <w:r>
        <w:br/>
      </w:r>
      <w:r>
        <w:rPr>
          <w:rStyle w:val="VerbatimChar"/>
        </w:rPr>
        <w:t xml:space="preserve">│    ├── src/engines/entity_resolution/                               │</w:t>
      </w:r>
      <w:r>
        <w:br/>
      </w:r>
      <w:r>
        <w:rPr>
          <w:rStyle w:val="VerbatimChar"/>
        </w:rPr>
        <w:t xml:space="preserve">│    ├── src/platform/intelligence/subject_resolver.py                │</w:t>
      </w:r>
      <w:r>
        <w:br/>
      </w:r>
      <w:r>
        <w:rPr>
          <w:rStyle w:val="VerbatimChar"/>
        </w:rPr>
        <w:t xml:space="preserve">│    ├── src/engines/customer360/                                     │</w:t>
      </w:r>
      <w:r>
        <w:br/>
      </w:r>
      <w:r>
        <w:rPr>
          <w:rStyle w:val="VerbatimChar"/>
        </w:rPr>
        <w:t xml:space="preserve">│    └── src/engines/financial_gps/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TARGET:                                                            │</w:t>
      </w:r>
      <w:r>
        <w:br/>
      </w:r>
      <w:r>
        <w:rPr>
          <w:rStyle w:val="VerbatimChar"/>
        </w:rPr>
        <w:t xml:space="preserve">│    ├── src/platform/intelligence/entity_resolution/                 │</w:t>
      </w:r>
      <w:r>
        <w:br/>
      </w:r>
      <w:r>
        <w:rPr>
          <w:rStyle w:val="VerbatimChar"/>
        </w:rPr>
        <w:t xml:space="preserve">│    └── src/domains/evidence/  (context snapshot)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CAPABILITIES:                                                      │</w:t>
      </w:r>
      <w:r>
        <w:br/>
      </w:r>
      <w:r>
        <w:rPr>
          <w:rStyle w:val="VerbatimChar"/>
        </w:rPr>
        <w:t xml:space="preserve">│    • Entity resolution (identity merge)                             │</w:t>
      </w:r>
      <w:r>
        <w:br/>
      </w:r>
      <w:r>
        <w:rPr>
          <w:rStyle w:val="VerbatimChar"/>
        </w:rPr>
        <w:t xml:space="preserve">│    • Historical context (Customer 360)                              │</w:t>
      </w:r>
      <w:r>
        <w:br/>
      </w:r>
      <w:r>
        <w:rPr>
          <w:rStyle w:val="VerbatimChar"/>
        </w:rPr>
        <w:t xml:space="preserve">│    • Financial GPS (geographic/behavioral)                          │</w:t>
      </w:r>
      <w:r>
        <w:br/>
      </w:r>
      <w:r>
        <w:rPr>
          <w:rStyle w:val="VerbatimChar"/>
        </w:rPr>
        <w:t xml:space="preserve">│    • Tenant context binding                                         │</w:t>
      </w:r>
      <w:r>
        <w:br/>
      </w:r>
      <w:r>
        <w:rPr>
          <w:rStyle w:val="VerbatimChar"/>
        </w:rPr>
        <w:t xml:space="preserve">│    • Policy envelope resolution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Heading3"/>
      </w:pPr>
      <w:bookmarkStart w:id="18" w:name="_a57cd5fdf8ff2b3f3e56d8d4a58af16c71b1ed6"/>
      <w:r>
        <w:t xml:space="preserve">Stage 03 — IDENTITY (KYC / KYB / UBO)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STAGE 03 — IDENTITY                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KYC (Customer Identity)                                            │</w:t>
      </w:r>
      <w:r>
        <w:br/>
      </w:r>
      <w:r>
        <w:rPr>
          <w:rStyle w:val="VerbatimChar"/>
        </w:rPr>
        <w:t xml:space="preserve">│  ├── domains/kyc/                    ← CANONICAL OWNER              │</w:t>
      </w:r>
      <w:r>
        <w:br/>
      </w:r>
      <w:r>
        <w:rPr>
          <w:rStyle w:val="VerbatimChar"/>
        </w:rPr>
        <w:t xml:space="preserve">│  │   ├── domain/                                                    │</w:t>
      </w:r>
      <w:r>
        <w:br/>
      </w:r>
      <w:r>
        <w:rPr>
          <w:rStyle w:val="VerbatimChar"/>
        </w:rPr>
        <w:t xml:space="preserve">│  │   ├── application/                                               │</w:t>
      </w:r>
      <w:r>
        <w:br/>
      </w:r>
      <w:r>
        <w:rPr>
          <w:rStyle w:val="VerbatimChar"/>
        </w:rPr>
        <w:t xml:space="preserve">│  │   ├── infrastructure/                                            │</w:t>
      </w:r>
      <w:r>
        <w:br/>
      </w:r>
      <w:r>
        <w:rPr>
          <w:rStyle w:val="VerbatimChar"/>
        </w:rPr>
        <w:t xml:space="preserve">│  │   ├── runtime/                                                   │</w:t>
      </w:r>
      <w:r>
        <w:br/>
      </w:r>
      <w:r>
        <w:rPr>
          <w:rStyle w:val="VerbatimChar"/>
        </w:rPr>
        <w:t xml:space="preserve">│  │   └── contracts/kyc_contract.py  ← TARGET                        │</w:t>
      </w:r>
      <w:r>
        <w:br/>
      </w:r>
      <w:r>
        <w:rPr>
          <w:rStyle w:val="VerbatimChar"/>
        </w:rPr>
        <w:t xml:space="preserve">│  ├── engines/kyc/engine.py           ← DecisionEngine (LIVE)        │</w:t>
      </w:r>
      <w:r>
        <w:br/>
      </w:r>
      <w:r>
        <w:rPr>
          <w:rStyle w:val="VerbatimChar"/>
        </w:rPr>
        <w:t xml:space="preserve">│  └── platform/trust/kyc/             ← provider integration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PROVIDERS (Saudi):                                                 │</w:t>
      </w:r>
      <w:r>
        <w:br/>
      </w:r>
      <w:r>
        <w:rPr>
          <w:rStyle w:val="VerbatimChar"/>
        </w:rPr>
        <w:t xml:space="preserve">│    • Nafath (national SSO)                                          │</w:t>
      </w:r>
      <w:r>
        <w:br/>
      </w:r>
      <w:r>
        <w:rPr>
          <w:rStyle w:val="VerbatimChar"/>
        </w:rPr>
        <w:t xml:space="preserve">│    • Yaqeen (identity verification)                                 │</w:t>
      </w:r>
      <w:r>
        <w:br/>
      </w:r>
      <w:r>
        <w:rPr>
          <w:rStyle w:val="VerbatimChar"/>
        </w:rPr>
        <w:t xml:space="preserve">│    • Absher                                                            │</w:t>
      </w:r>
      <w:r>
        <w:br/>
      </w:r>
      <w:r>
        <w:rPr>
          <w:rStyle w:val="VerbatimChar"/>
        </w:rPr>
        <w:t xml:space="preserve">│    • ELM                          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─────────────────────────────────────────────────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KYB (Business Identity + UBO)                                      │</w:t>
      </w:r>
      <w:r>
        <w:br/>
      </w:r>
      <w:r>
        <w:rPr>
          <w:rStyle w:val="VerbatimChar"/>
        </w:rPr>
        <w:t xml:space="preserve">│  ├── domains/kyb/                    ← CANONICAL OWNER              │</w:t>
      </w:r>
      <w:r>
        <w:br/>
      </w:r>
      <w:r>
        <w:rPr>
          <w:rStyle w:val="VerbatimChar"/>
        </w:rPr>
        <w:t xml:space="preserve">│  │   ├── domain/                                                    │</w:t>
      </w:r>
      <w:r>
        <w:br/>
      </w:r>
      <w:r>
        <w:rPr>
          <w:rStyle w:val="VerbatimChar"/>
        </w:rPr>
        <w:t xml:space="preserve">│  │   │   ├── legal_entity.py                                        │</w:t>
      </w:r>
      <w:r>
        <w:br/>
      </w:r>
      <w:r>
        <w:rPr>
          <w:rStyle w:val="VerbatimChar"/>
        </w:rPr>
        <w:t xml:space="preserve">│  │   │   ├── director.py                                            │</w:t>
      </w:r>
      <w:r>
        <w:br/>
      </w:r>
      <w:r>
        <w:rPr>
          <w:rStyle w:val="VerbatimChar"/>
        </w:rPr>
        <w:t xml:space="preserve">│  │   │   ├── officer.py                                             │</w:t>
      </w:r>
      <w:r>
        <w:br/>
      </w:r>
      <w:r>
        <w:rPr>
          <w:rStyle w:val="VerbatimChar"/>
        </w:rPr>
        <w:t xml:space="preserve">│  │   │   └── ubo/                    ← UBO SUB-CAPABILITY           │</w:t>
      </w:r>
      <w:r>
        <w:br/>
      </w:r>
      <w:r>
        <w:rPr>
          <w:rStyle w:val="VerbatimChar"/>
        </w:rPr>
        <w:t xml:space="preserve">│  │   ├── application/                                               │</w:t>
      </w:r>
      <w:r>
        <w:br/>
      </w:r>
      <w:r>
        <w:rPr>
          <w:rStyle w:val="VerbatimChar"/>
        </w:rPr>
        <w:t xml:space="preserve">│  │   ├── infrastructure/                                            │</w:t>
      </w:r>
      <w:r>
        <w:br/>
      </w:r>
      <w:r>
        <w:rPr>
          <w:rStyle w:val="VerbatimChar"/>
        </w:rPr>
        <w:t xml:space="preserve">│  │   ├── runtime/                                                   │</w:t>
      </w:r>
      <w:r>
        <w:br/>
      </w:r>
      <w:r>
        <w:rPr>
          <w:rStyle w:val="VerbatimChar"/>
        </w:rPr>
        <w:t xml:space="preserve">│  │   └── contracts/kyb_contract.py   ← TARGET                       │</w:t>
      </w:r>
      <w:r>
        <w:br/>
      </w:r>
      <w:r>
        <w:rPr>
          <w:rStyle w:val="VerbatimChar"/>
        </w:rPr>
        <w:t xml:space="preserve">│  ├── engines/kyb/engine.py           ← DecisionEngine (LIVE)        │</w:t>
      </w:r>
      <w:r>
        <w:br/>
      </w:r>
      <w:r>
        <w:rPr>
          <w:rStyle w:val="VerbatimChar"/>
        </w:rPr>
        <w:t xml:space="preserve">│  │   └── evaluates: KYB + UBO in one decision                       │</w:t>
      </w:r>
      <w:r>
        <w:br/>
      </w:r>
      <w:r>
        <w:rPr>
          <w:rStyle w:val="VerbatimChar"/>
        </w:rPr>
        <w:t xml:space="preserve">│  ├── platform/financial/kyb/         ← support                       │</w:t>
      </w:r>
      <w:r>
        <w:br/>
      </w:r>
      <w:r>
        <w:rPr>
          <w:rStyle w:val="VerbatimChar"/>
        </w:rPr>
        <w:t xml:space="preserve">│  └── platform/financial/ownership/   ← UBO resolver                  │</w:t>
      </w:r>
      <w:r>
        <w:br/>
      </w:r>
      <w:r>
        <w:rPr>
          <w:rStyle w:val="VerbatimChar"/>
        </w:rPr>
        <w:t xml:space="preserve">│      └── beneficial/ubo_resolver.py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PROVIDERS (Saudi):                                                 │</w:t>
      </w:r>
      <w:r>
        <w:br/>
      </w:r>
      <w:r>
        <w:rPr>
          <w:rStyle w:val="VerbatimChar"/>
        </w:rPr>
        <w:t xml:space="preserve">│    • Wathq (commercial registration)                                │</w:t>
      </w:r>
      <w:r>
        <w:br/>
      </w:r>
      <w:r>
        <w:rPr>
          <w:rStyle w:val="VerbatimChar"/>
        </w:rPr>
        <w:t xml:space="preserve">│    • CR (commercial registry)                                       │</w:t>
      </w:r>
      <w:r>
        <w:br/>
      </w:r>
      <w:r>
        <w:rPr>
          <w:rStyle w:val="VerbatimChar"/>
        </w:rPr>
        <w:t xml:space="preserve">│    • Maroof                   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⚠️  UBO RULE (FIXED):                                              │</w:t>
      </w:r>
      <w:r>
        <w:br/>
      </w:r>
      <w:r>
        <w:rPr>
          <w:rStyle w:val="VerbatimChar"/>
        </w:rPr>
        <w:t xml:space="preserve">│      UBO is NOT a domain. UBO is NOT a separate engine.             │</w:t>
      </w:r>
      <w:r>
        <w:br/>
      </w:r>
      <w:r>
        <w:rPr>
          <w:rStyle w:val="VerbatimChar"/>
        </w:rPr>
        <w:t xml:space="preserve">│      UBO is a sub-capability inside domains/kyb.                    │</w:t>
      </w:r>
      <w:r>
        <w:br/>
      </w:r>
      <w:r>
        <w:rPr>
          <w:rStyle w:val="VerbatimChar"/>
        </w:rPr>
        <w:t xml:space="preserve">│      KYBEngine evaluates KYB + UBO together.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Heading3"/>
      </w:pPr>
      <w:bookmarkStart w:id="19" w:name="_1f3e921843df166014ab35e73f42b6aed6b9909"/>
      <w:r>
        <w:t xml:space="preserve">Stage 04 — SCREENING (PEP / SANCTIONS)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STAGE 04 — SCREENING               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├── domains/screening/              ← CANONICAL OWNER              │</w:t>
      </w:r>
      <w:r>
        <w:br/>
      </w:r>
      <w:r>
        <w:rPr>
          <w:rStyle w:val="VerbatimChar"/>
        </w:rPr>
        <w:t xml:space="preserve">│  │   └── orchestration + provider lifecycle                         │</w:t>
      </w:r>
      <w:r>
        <w:br/>
      </w:r>
      <w:r>
        <w:rPr>
          <w:rStyle w:val="VerbatimChar"/>
        </w:rPr>
        <w:t xml:space="preserve">│  ├── domains/pep/                    ← PEP domain                    │</w:t>
      </w:r>
      <w:r>
        <w:br/>
      </w:r>
      <w:r>
        <w:rPr>
          <w:rStyle w:val="VerbatimChar"/>
        </w:rPr>
        <w:t xml:space="preserve">│  ├── domains/sanctions/              ← Sanctions domain              │</w:t>
      </w:r>
      <w:r>
        <w:br/>
      </w:r>
      <w:r>
        <w:rPr>
          <w:rStyle w:val="VerbatimChar"/>
        </w:rPr>
        <w:t xml:space="preserve">│  ├── engines/pep/                    ← DecisionEngine                │</w:t>
      </w:r>
      <w:r>
        <w:br/>
      </w:r>
      <w:r>
        <w:rPr>
          <w:rStyle w:val="VerbatimChar"/>
        </w:rPr>
        <w:t xml:space="preserve">│  ├── engines/sanctions/engine.py     ← DecisionEngine (LIVE)        │</w:t>
      </w:r>
      <w:r>
        <w:br/>
      </w:r>
      <w:r>
        <w:rPr>
          <w:rStyle w:val="VerbatimChar"/>
        </w:rPr>
        <w:t xml:space="preserve">│  ├── platform/compliance/screening/  ← platform support              │</w:t>
      </w:r>
      <w:r>
        <w:br/>
      </w:r>
      <w:r>
        <w:rPr>
          <w:rStyle w:val="VerbatimChar"/>
        </w:rPr>
        <w:t xml:space="preserve">│  └── services/sanctions/             ← legacy (Phase F)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PROVIDERS (Global):                                                │</w:t>
      </w:r>
      <w:r>
        <w:br/>
      </w:r>
      <w:r>
        <w:rPr>
          <w:rStyle w:val="VerbatimChar"/>
        </w:rPr>
        <w:t xml:space="preserve">│    • Refinitiv World-Check                                          │</w:t>
      </w:r>
      <w:r>
        <w:br/>
      </w:r>
      <w:r>
        <w:rPr>
          <w:rStyle w:val="VerbatimChar"/>
        </w:rPr>
        <w:t xml:space="preserve">│    • Dow Jones Risk                                                  │</w:t>
      </w:r>
      <w:r>
        <w:br/>
      </w:r>
      <w:r>
        <w:rPr>
          <w:rStyle w:val="VerbatimChar"/>
        </w:rPr>
        <w:t xml:space="preserve">│    • LexisNexis                                                      │</w:t>
      </w:r>
      <w:r>
        <w:br/>
      </w:r>
      <w:r>
        <w:rPr>
          <w:rStyle w:val="VerbatimChar"/>
        </w:rPr>
        <w:t xml:space="preserve">│    • OpenSanctions (OFAC, UN, EU, SAMA TFS)                         │</w:t>
      </w:r>
      <w:r>
        <w:br/>
      </w:r>
      <w:r>
        <w:rPr>
          <w:rStyle w:val="VerbatimChar"/>
        </w:rPr>
        <w:t xml:space="preserve">│    • Local PEP lists           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RE-SCREENING CADENCE (from Screening Contract):                    │</w:t>
      </w:r>
      <w:r>
        <w:br/>
      </w:r>
      <w:r>
        <w:rPr>
          <w:rStyle w:val="VerbatimChar"/>
        </w:rPr>
        <w:t xml:space="preserve">│    • 24h policy-governed (documented)                               │</w:t>
      </w:r>
      <w:r>
        <w:br/>
      </w:r>
      <w:r>
        <w:rPr>
          <w:rStyle w:val="VerbatimChar"/>
        </w:rPr>
        <w:t xml:space="preserve">│    • Configurable per tenant within envelope                        │</w:t>
      </w:r>
      <w:r>
        <w:br/>
      </w:r>
      <w:r>
        <w:rPr>
          <w:rStyle w:val="VerbatimChar"/>
        </w:rPr>
        <w:t xml:space="preserve">│    • Every re-screen = new immutable result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Heading3"/>
      </w:pPr>
      <w:bookmarkStart w:id="20" w:name="_7f5e0519632dce0d88d109617e8e0b571426f76"/>
      <w:r>
        <w:t xml:space="preserve">Stage 05 — DETECTION (AML / FRAUD)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STAGE 05 — DETECTION               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AML                                                                │</w:t>
      </w:r>
      <w:r>
        <w:br/>
      </w:r>
      <w:r>
        <w:rPr>
          <w:rStyle w:val="VerbatimChar"/>
        </w:rPr>
        <w:t xml:space="preserve">│  ├── domains/aml/                    ← CANONICAL OWNER              │</w:t>
      </w:r>
      <w:r>
        <w:br/>
      </w:r>
      <w:r>
        <w:rPr>
          <w:rStyle w:val="VerbatimChar"/>
        </w:rPr>
        <w:t xml:space="preserve">│  │   ├── runtime/engine.py           ← runtime engine               │</w:t>
      </w:r>
      <w:r>
        <w:br/>
      </w:r>
      <w:r>
        <w:rPr>
          <w:rStyle w:val="VerbatimChar"/>
        </w:rPr>
        <w:t xml:space="preserve">│  │   ├── engines/engine.py           ← legacy surface (clean)       │</w:t>
      </w:r>
      <w:r>
        <w:br/>
      </w:r>
      <w:r>
        <w:rPr>
          <w:rStyle w:val="VerbatimChar"/>
        </w:rPr>
        <w:t xml:space="preserve">│  │   └── rules/                      ← rule sets                    │</w:t>
      </w:r>
      <w:r>
        <w:br/>
      </w:r>
      <w:r>
        <w:rPr>
          <w:rStyle w:val="VerbatimChar"/>
        </w:rPr>
        <w:t xml:space="preserve">│  ├── engines/aml/                    ← DecisionEngine (LIVE)        │</w:t>
      </w:r>
      <w:r>
        <w:br/>
      </w:r>
      <w:r>
        <w:rPr>
          <w:rStyle w:val="VerbatimChar"/>
        </w:rPr>
        <w:t xml:space="preserve">│  └── services/aml/                   ← legacy (Phase D)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FRAUD                                                              │</w:t>
      </w:r>
      <w:r>
        <w:br/>
      </w:r>
      <w:r>
        <w:rPr>
          <w:rStyle w:val="VerbatimChar"/>
        </w:rPr>
        <w:t xml:space="preserve">│  ├── domains/fraud/                  ← CANONICAL OWNER              │</w:t>
      </w:r>
      <w:r>
        <w:br/>
      </w:r>
      <w:r>
        <w:rPr>
          <w:rStyle w:val="VerbatimChar"/>
        </w:rPr>
        <w:t xml:space="preserve">│  ├── engines/fraud/engine.py         ← DecisionEngine (LIVE)        │</w:t>
      </w:r>
      <w:r>
        <w:br/>
      </w:r>
      <w:r>
        <w:rPr>
          <w:rStyle w:val="VerbatimChar"/>
        </w:rPr>
        <w:t xml:space="preserve">│  ├── platform/compliance/fraud/      ← test-bound (Phase C)         │</w:t>
      </w:r>
      <w:r>
        <w:br/>
      </w:r>
      <w:r>
        <w:rPr>
          <w:rStyle w:val="VerbatimChar"/>
        </w:rPr>
        <w:t xml:space="preserve">│  └── services/fraud/                 ← retired (Phase C)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─────────────────────────────────────────────────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SUPPORT ENGINES (mount onto DETECTION):                            │</w:t>
      </w:r>
      <w:r>
        <w:br/>
      </w:r>
      <w:r>
        <w:rPr>
          <w:rStyle w:val="VerbatimChar"/>
        </w:rPr>
        <w:t xml:space="preserve">│    ├── engines/anomaly/              ← ML anomaly detection         │</w:t>
      </w:r>
      <w:r>
        <w:br/>
      </w:r>
      <w:r>
        <w:rPr>
          <w:rStyle w:val="VerbatimChar"/>
        </w:rPr>
        <w:t xml:space="preserve">│    ├── engines/behavior/             ← behavioral patterns          │</w:t>
      </w:r>
      <w:r>
        <w:br/>
      </w:r>
      <w:r>
        <w:rPr>
          <w:rStyle w:val="VerbatimChar"/>
        </w:rPr>
        <w:t xml:space="preserve">│    ├── engines/behavioral/           ← parallel (merge into behavior)│</w:t>
      </w:r>
      <w:r>
        <w:br/>
      </w:r>
      <w:r>
        <w:rPr>
          <w:rStyle w:val="VerbatimChar"/>
        </w:rPr>
        <w:t xml:space="preserve">│    ├── engines/predictive/           ← predictive scoring           │</w:t>
      </w:r>
      <w:r>
        <w:br/>
      </w:r>
      <w:r>
        <w:rPr>
          <w:rStyle w:val="VerbatimChar"/>
        </w:rPr>
        <w:t xml:space="preserve">│    └── platform/ai/                  ← AI/ML infrastructure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RULES + MODELS:                                                    │</w:t>
      </w:r>
      <w:r>
        <w:br/>
      </w:r>
      <w:r>
        <w:rPr>
          <w:rStyle w:val="VerbatimChar"/>
        </w:rPr>
        <w:t xml:space="preserve">│    • Rule-based detection (deterministic)                           │</w:t>
      </w:r>
      <w:r>
        <w:br/>
      </w:r>
      <w:r>
        <w:rPr>
          <w:rStyle w:val="VerbatimChar"/>
        </w:rPr>
        <w:t xml:space="preserve">│    • ML models (approved, versioned, fail-closed)                   │</w:t>
      </w:r>
      <w:r>
        <w:br/>
      </w:r>
      <w:r>
        <w:rPr>
          <w:rStyle w:val="VerbatimChar"/>
        </w:rPr>
        <w:t xml:space="preserve">│    • Explainability required for every decision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Heading3"/>
      </w:pPr>
      <w:bookmarkStart w:id="21" w:name="_f368296db416c33e32ad060846fac913d01b513"/>
      <w:r>
        <w:t xml:space="preserve">Stage 06 — GRAPH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STAGE 06 — GRAPH                   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├── engines/graph/engine.py         ← DecisionEngine (LIVE)        │</w:t>
      </w:r>
      <w:r>
        <w:br/>
      </w:r>
      <w:r>
        <w:rPr>
          <w:rStyle w:val="VerbatimChar"/>
        </w:rPr>
        <w:t xml:space="preserve">│  │   └── imports services.graph (ACTIVE)                            │</w:t>
      </w:r>
      <w:r>
        <w:br/>
      </w:r>
      <w:r>
        <w:rPr>
          <w:rStyle w:val="VerbatimChar"/>
        </w:rPr>
        <w:t xml:space="preserve">│  └── services/graph/                 ← supporting runtime           │</w:t>
      </w:r>
      <w:r>
        <w:br/>
      </w:r>
      <w:r>
        <w:rPr>
          <w:rStyle w:val="VerbatimChar"/>
        </w:rPr>
        <w:t xml:space="preserve">│      ├── engine.py (GraphService)                                   │</w:t>
      </w:r>
      <w:r>
        <w:br/>
      </w:r>
      <w:r>
        <w:rPr>
          <w:rStyle w:val="VerbatimChar"/>
        </w:rPr>
        <w:t xml:space="preserve">│      └── plugins/             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TARGET (Phase G):                                                  │</w:t>
      </w:r>
      <w:r>
        <w:br/>
      </w:r>
      <w:r>
        <w:rPr>
          <w:rStyle w:val="VerbatimChar"/>
        </w:rPr>
        <w:t xml:space="preserve">│    └── src/platform/graph/           ← extracted to platform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CAPABILITIES:                                                      │</w:t>
      </w:r>
      <w:r>
        <w:br/>
      </w:r>
      <w:r>
        <w:rPr>
          <w:rStyle w:val="VerbatimChar"/>
        </w:rPr>
        <w:t xml:space="preserve">│    • Entity relationship graph                                      │</w:t>
      </w:r>
      <w:r>
        <w:br/>
      </w:r>
      <w:r>
        <w:rPr>
          <w:rStyle w:val="VerbatimChar"/>
        </w:rPr>
        <w:t xml:space="preserve">│    • Circular flow detection                                        │</w:t>
      </w:r>
      <w:r>
        <w:br/>
      </w:r>
      <w:r>
        <w:rPr>
          <w:rStyle w:val="VerbatimChar"/>
        </w:rPr>
        <w:t xml:space="preserve">│    • Community detection                                            │</w:t>
      </w:r>
      <w:r>
        <w:br/>
      </w:r>
      <w:r>
        <w:rPr>
          <w:rStyle w:val="VerbatimChar"/>
        </w:rPr>
        <w:t xml:space="preserve">│    • Hub detection                                                  │</w:t>
      </w:r>
      <w:r>
        <w:br/>
      </w:r>
      <w:r>
        <w:rPr>
          <w:rStyle w:val="VerbatimChar"/>
        </w:rPr>
        <w:t xml:space="preserve">│    • Fraud node discovery                                           │</w:t>
      </w:r>
      <w:r>
        <w:br/>
      </w:r>
      <w:r>
        <w:rPr>
          <w:rStyle w:val="VerbatimChar"/>
        </w:rPr>
        <w:t xml:space="preserve">│    • Graph-based evidence push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⚠️  KNOWN DEFECT:                                                  │</w:t>
      </w:r>
      <w:r>
        <w:br/>
      </w:r>
      <w:r>
        <w:rPr>
          <w:rStyle w:val="VerbatimChar"/>
        </w:rPr>
        <w:t xml:space="preserve">│      Row-shape contract mismatch:                                   │</w:t>
      </w:r>
      <w:r>
        <w:br/>
      </w:r>
      <w:r>
        <w:rPr>
          <w:rStyle w:val="VerbatimChar"/>
        </w:rPr>
        <w:t xml:space="preserve">│        GraphRepository (RealDictCursor)                             │</w:t>
      </w:r>
      <w:r>
        <w:br/>
      </w:r>
      <w:r>
        <w:rPr>
          <w:rStyle w:val="VerbatimChar"/>
        </w:rPr>
        <w:t xml:space="preserve">│        vs GraphService (tuple unpacking)                            │</w:t>
      </w:r>
      <w:r>
        <w:br/>
      </w:r>
      <w:r>
        <w:rPr>
          <w:rStyle w:val="VerbatimChar"/>
        </w:rPr>
        <w:t xml:space="preserve">│      → relationship mapping defect (untrustworthy)                  │</w:t>
      </w:r>
      <w:r>
        <w:br/>
      </w:r>
      <w:r>
        <w:rPr>
          <w:rStyle w:val="VerbatimChar"/>
        </w:rPr>
        <w:t xml:space="preserve">│      → Phase G must fix + verify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Heading3"/>
      </w:pPr>
      <w:bookmarkStart w:id="22" w:name="_afc4719946d2a59cad7ec899fe33621eca4df11"/>
      <w:r>
        <w:t xml:space="preserve">Stage 07 — RISK + POLICY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STAGE 07 — RISK + POLICY           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RISK                                                               │</w:t>
      </w:r>
      <w:r>
        <w:br/>
      </w:r>
      <w:r>
        <w:rPr>
          <w:rStyle w:val="VerbatimChar"/>
        </w:rPr>
        <w:t xml:space="preserve">│  ├── src/core/risk/                  ← primitive                    │</w:t>
      </w:r>
      <w:r>
        <w:br/>
      </w:r>
      <w:r>
        <w:rPr>
          <w:rStyle w:val="VerbatimChar"/>
        </w:rPr>
        <w:t xml:space="preserve">│  └── src/platform/risk/              ← platform support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POLICY                                                             │</w:t>
      </w:r>
      <w:r>
        <w:br/>
      </w:r>
      <w:r>
        <w:rPr>
          <w:rStyle w:val="VerbatimChar"/>
        </w:rPr>
        <w:t xml:space="preserve">│  ├── src/core/policy/                ← primitive                    │</w:t>
      </w:r>
      <w:r>
        <w:br/>
      </w:r>
      <w:r>
        <w:rPr>
          <w:rStyle w:val="VerbatimChar"/>
        </w:rPr>
        <w:t xml:space="preserve">│  ├── src/platform/policy/            ← platform support             │</w:t>
      </w:r>
      <w:r>
        <w:br/>
      </w:r>
      <w:r>
        <w:rPr>
          <w:rStyle w:val="VerbatimChar"/>
        </w:rPr>
        <w:t xml:space="preserve">│  └── config/                         ← policy envelopes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CAPABILITIES:                                                      │</w:t>
      </w:r>
      <w:r>
        <w:br/>
      </w:r>
      <w:r>
        <w:rPr>
          <w:rStyle w:val="VerbatimChar"/>
        </w:rPr>
        <w:t xml:space="preserve">│    • Risk scoring (multi-factor)                                    │</w:t>
      </w:r>
      <w:r>
        <w:br/>
      </w:r>
      <w:r>
        <w:rPr>
          <w:rStyle w:val="VerbatimChar"/>
        </w:rPr>
        <w:t xml:space="preserve">│    • Threshold management                                           │</w:t>
      </w:r>
      <w:r>
        <w:br/>
      </w:r>
      <w:r>
        <w:rPr>
          <w:rStyle w:val="VerbatimChar"/>
        </w:rPr>
        <w:t xml:space="preserve">│    • Policy envelope evaluation                                     │</w:t>
      </w:r>
      <w:r>
        <w:br/>
      </w:r>
      <w:r>
        <w:rPr>
          <w:rStyle w:val="VerbatimChar"/>
        </w:rPr>
        <w:t xml:space="preserve">│    • Tenant policy ⊂ governed envelope                              │</w:t>
      </w:r>
      <w:r>
        <w:br/>
      </w:r>
      <w:r>
        <w:rPr>
          <w:rStyle w:val="VerbatimChar"/>
        </w:rPr>
        <w:t xml:space="preserve">│    • Version pinning for reproducibility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Heading3"/>
      </w:pPr>
      <w:bookmarkStart w:id="23" w:name="_9124340b1fcf8330c7112b365406171bd17c2f3"/>
      <w:r>
        <w:t xml:space="preserve">Stage 08 — DECISION ENGINE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STAGE 08 — DECISION ENGINE         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├── domains/decision/               ← CANONICAL OWNER              │</w:t>
      </w:r>
      <w:r>
        <w:br/>
      </w:r>
      <w:r>
        <w:rPr>
          <w:rStyle w:val="VerbatimChar"/>
        </w:rPr>
        <w:t xml:space="preserve">│  │   ├── domain/                                                    │</w:t>
      </w:r>
      <w:r>
        <w:br/>
      </w:r>
      <w:r>
        <w:rPr>
          <w:rStyle w:val="VerbatimChar"/>
        </w:rPr>
        <w:t xml:space="preserve">│  │   ├── application/                                               │</w:t>
      </w:r>
      <w:r>
        <w:br/>
      </w:r>
      <w:r>
        <w:rPr>
          <w:rStyle w:val="VerbatimChar"/>
        </w:rPr>
        <w:t xml:space="preserve">│  │   └── pipeline/pipeline.py                                       │</w:t>
      </w:r>
      <w:r>
        <w:br/>
      </w:r>
      <w:r>
        <w:rPr>
          <w:rStyle w:val="VerbatimChar"/>
        </w:rPr>
        <w:t xml:space="preserve">│  ├── src/core/decision/              ← primitive                    │</w:t>
      </w:r>
      <w:r>
        <w:br/>
      </w:r>
      <w:r>
        <w:rPr>
          <w:rStyle w:val="VerbatimChar"/>
        </w:rPr>
        <w:t xml:space="preserve">│  ├── src/platform/decision/          ← platform support             │</w:t>
      </w:r>
      <w:r>
        <w:br/>
      </w:r>
      <w:r>
        <w:rPr>
          <w:rStyle w:val="VerbatimChar"/>
        </w:rPr>
        <w:t xml:space="preserve">│  ├── src/engines/decision_dna/       ← DNA engine                   │</w:t>
      </w:r>
      <w:r>
        <w:br/>
      </w:r>
      <w:r>
        <w:rPr>
          <w:rStyle w:val="VerbatimChar"/>
        </w:rPr>
        <w:t xml:space="preserve">│  ├── src/engines/advisor/            ← advisory engine              │</w:t>
      </w:r>
      <w:r>
        <w:br/>
      </w:r>
      <w:r>
        <w:rPr>
          <w:rStyle w:val="VerbatimChar"/>
        </w:rPr>
        <w:t xml:space="preserve">│  ├── src/engines/explainability/     ← explainability               │</w:t>
      </w:r>
      <w:r>
        <w:br/>
      </w:r>
      <w:r>
        <w:rPr>
          <w:rStyle w:val="VerbatimChar"/>
        </w:rPr>
        <w:t xml:space="preserve">│  ├── src/api/evaluate.py             ← HTTP boundary                │</w:t>
      </w:r>
      <w:r>
        <w:br/>
      </w:r>
      <w:r>
        <w:rPr>
          <w:rStyle w:val="VerbatimChar"/>
        </w:rPr>
        <w:t xml:space="preserve">│  └── src/api/decision_details.py     ← HTTP boundary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RESPONSIBILITY:                                                    │</w:t>
      </w:r>
      <w:r>
        <w:br/>
      </w:r>
      <w:r>
        <w:rPr>
          <w:rStyle w:val="VerbatimChar"/>
        </w:rPr>
        <w:t xml:space="preserve">│    • Take all upstream signals                                      │</w:t>
      </w:r>
      <w:r>
        <w:br/>
      </w:r>
      <w:r>
        <w:rPr>
          <w:rStyle w:val="VerbatimChar"/>
        </w:rPr>
        <w:t xml:space="preserve">│    • Apply policy envelope                                          │</w:t>
      </w:r>
      <w:r>
        <w:br/>
      </w:r>
      <w:r>
        <w:rPr>
          <w:rStyle w:val="VerbatimChar"/>
        </w:rPr>
        <w:t xml:space="preserve">│    • Produce a governed decision                                    │</w:t>
      </w:r>
      <w:r>
        <w:br/>
      </w:r>
      <w:r>
        <w:rPr>
          <w:rStyle w:val="VerbatimChar"/>
        </w:rPr>
        <w:t xml:space="preserve">│    • Attach reasoning (explainability)                              │</w:t>
      </w:r>
      <w:r>
        <w:br/>
      </w:r>
      <w:r>
        <w:rPr>
          <w:rStyle w:val="VerbatimChar"/>
        </w:rPr>
        <w:t xml:space="preserve">│    • Attach confidence                                              │</w:t>
      </w:r>
      <w:r>
        <w:br/>
      </w:r>
      <w:r>
        <w:rPr>
          <w:rStyle w:val="VerbatimChar"/>
        </w:rPr>
        <w:t xml:space="preserve">│    • Route to approval workflow if required (SoD/4-eyes)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Heading3"/>
      </w:pPr>
      <w:bookmarkStart w:id="24" w:name="_361f08c3440060cf1823f4c9ef3b79b9a107983"/>
      <w:r>
        <w:t xml:space="preserve">Stage 09 — EVIDENCE + DECISION DNA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STAGE 09 — EVIDENCE + DECISION DNA 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EVIDENCE                                                           │</w:t>
      </w:r>
      <w:r>
        <w:br/>
      </w:r>
      <w:r>
        <w:rPr>
          <w:rStyle w:val="VerbatimChar"/>
        </w:rPr>
        <w:t xml:space="preserve">│  ├── domains/evidence/               ← CANONICAL OWNER              │</w:t>
      </w:r>
      <w:r>
        <w:br/>
      </w:r>
      <w:r>
        <w:rPr>
          <w:rStyle w:val="VerbatimChar"/>
        </w:rPr>
        <w:t xml:space="preserve">│  ├── core/evidence/                  ← primitive                    │</w:t>
      </w:r>
      <w:r>
        <w:br/>
      </w:r>
      <w:r>
        <w:rPr>
          <w:rStyle w:val="VerbatimChar"/>
        </w:rPr>
        <w:t xml:space="preserve">│  ├── core/contracts/evidence_reference.py  ← canonical contract     │</w:t>
      </w:r>
      <w:r>
        <w:br/>
      </w:r>
      <w:r>
        <w:rPr>
          <w:rStyle w:val="VerbatimChar"/>
        </w:rPr>
        <w:t xml:space="preserve">│  ├── platform/evidence/              ← platform support             │</w:t>
      </w:r>
      <w:r>
        <w:br/>
      </w:r>
      <w:r>
        <w:rPr>
          <w:rStyle w:val="VerbatimChar"/>
        </w:rPr>
        <w:t xml:space="preserve">│  └── api/evidence.py                 ← HTTP boundary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DECISION DNA                                                       │</w:t>
      </w:r>
      <w:r>
        <w:br/>
      </w:r>
      <w:r>
        <w:rPr>
          <w:rStyle w:val="VerbatimChar"/>
        </w:rPr>
        <w:t xml:space="preserve">│  ├── core/decision_dna/              ← primitive/store              │</w:t>
      </w:r>
      <w:r>
        <w:br/>
      </w:r>
      <w:r>
        <w:rPr>
          <w:rStyle w:val="VerbatimChar"/>
        </w:rPr>
        <w:t xml:space="preserve">│  └── engines/decision_dna/           ← engine wrapper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INVARIANTS:                                                        │</w:t>
      </w:r>
      <w:r>
        <w:br/>
      </w:r>
      <w:r>
        <w:rPr>
          <w:rStyle w:val="VerbatimChar"/>
        </w:rPr>
        <w:t xml:space="preserve">│    • EvidenceReference = reference, not content                     │</w:t>
      </w:r>
      <w:r>
        <w:br/>
      </w:r>
      <w:r>
        <w:rPr>
          <w:rStyle w:val="VerbatimChar"/>
        </w:rPr>
        <w:t xml:space="preserve">│    • 5 fields: evidence_id, source, evidence_type,                  │</w:t>
      </w:r>
      <w:r>
        <w:br/>
      </w:r>
      <w:r>
        <w:rPr>
          <w:rStyle w:val="VerbatimChar"/>
        </w:rPr>
        <w:t xml:space="preserve">│                hash_value, created_at                               │</w:t>
      </w:r>
      <w:r>
        <w:br/>
      </w:r>
      <w:r>
        <w:rPr>
          <w:rStyle w:val="VerbatimChar"/>
        </w:rPr>
        <w:t xml:space="preserve">│    • No tenant_id, no classification in contract                    │</w:t>
      </w:r>
      <w:r>
        <w:br/>
      </w:r>
      <w:r>
        <w:rPr>
          <w:rStyle w:val="VerbatimChar"/>
        </w:rPr>
        <w:t xml:space="preserve">│    • Frozen dataclass                                               │</w:t>
      </w:r>
      <w:r>
        <w:br/>
      </w:r>
      <w:r>
        <w:rPr>
          <w:rStyle w:val="VerbatimChar"/>
        </w:rPr>
        <w:t xml:space="preserve">│    • Immutable once created   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PINNED CONTEXT (per decision):                                     │</w:t>
      </w:r>
      <w:r>
        <w:br/>
      </w:r>
      <w:r>
        <w:rPr>
          <w:rStyle w:val="VerbatimChar"/>
        </w:rPr>
        <w:t xml:space="preserve">│    • input snapshot                                                 │</w:t>
      </w:r>
      <w:r>
        <w:br/>
      </w:r>
      <w:r>
        <w:rPr>
          <w:rStyle w:val="VerbatimChar"/>
        </w:rPr>
        <w:t xml:space="preserve">│    • evidence reference                                             │</w:t>
      </w:r>
      <w:r>
        <w:br/>
      </w:r>
      <w:r>
        <w:rPr>
          <w:rStyle w:val="VerbatimChar"/>
        </w:rPr>
        <w:t xml:space="preserve">│    • engine + version                                               │</w:t>
      </w:r>
      <w:r>
        <w:br/>
      </w:r>
      <w:r>
        <w:rPr>
          <w:rStyle w:val="VerbatimChar"/>
        </w:rPr>
        <w:t xml:space="preserve">│    • policy version                                                 │</w:t>
      </w:r>
      <w:r>
        <w:br/>
      </w:r>
      <w:r>
        <w:rPr>
          <w:rStyle w:val="VerbatimChar"/>
        </w:rPr>
        <w:t xml:space="preserve">│    • rule-set version                                               │</w:t>
      </w:r>
      <w:r>
        <w:br/>
      </w:r>
      <w:r>
        <w:rPr>
          <w:rStyle w:val="VerbatimChar"/>
        </w:rPr>
        <w:t xml:space="preserve">│    • model version (if ML)                                          │</w:t>
      </w:r>
      <w:r>
        <w:br/>
      </w:r>
      <w:r>
        <w:rPr>
          <w:rStyle w:val="VerbatimChar"/>
        </w:rPr>
        <w:t xml:space="preserve">│    • provider response/version                                      │</w:t>
      </w:r>
      <w:r>
        <w:br/>
      </w:r>
      <w:r>
        <w:rPr>
          <w:rStyle w:val="VerbatimChar"/>
        </w:rPr>
        <w:t xml:space="preserve">│    • tenant context                                                 │</w:t>
      </w:r>
      <w:r>
        <w:br/>
      </w:r>
      <w:r>
        <w:rPr>
          <w:rStyle w:val="VerbatimChar"/>
        </w:rPr>
        <w:t xml:space="preserve">│    • timestamp + actor                                              │</w:t>
      </w:r>
      <w:r>
        <w:br/>
      </w:r>
      <w:r>
        <w:rPr>
          <w:rStyle w:val="VerbatimChar"/>
        </w:rPr>
        <w:t xml:space="preserve">│    • output + confidence      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REPLAY:  deterministic against pinned context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Heading3"/>
      </w:pPr>
      <w:bookmarkStart w:id="25" w:name="_5d5050e1eadf1f301b4adc4f63b56b69dfe81a0"/>
      <w:r>
        <w:t xml:space="preserve">Stage 10 — AUDIT + CASE / ACTION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STAGE 10 — AUDIT + CASE / ACTION   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AUDIT                                                              │</w:t>
      </w:r>
      <w:r>
        <w:br/>
      </w:r>
      <w:r>
        <w:rPr>
          <w:rStyle w:val="VerbatimChar"/>
        </w:rPr>
        <w:t xml:space="preserve">│  ├── core/audit/                     ← canonical primitive         │</w:t>
      </w:r>
      <w:r>
        <w:br/>
      </w:r>
      <w:r>
        <w:rPr>
          <w:rStyle w:val="VerbatimChar"/>
        </w:rPr>
        <w:t xml:space="preserve">│  ├── platform/audit/                 ← platform support             │</w:t>
      </w:r>
      <w:r>
        <w:br/>
      </w:r>
      <w:r>
        <w:rPr>
          <w:rStyle w:val="VerbatimChar"/>
        </w:rPr>
        <w:t xml:space="preserve">│  ├── api/audit.py                    ← HTTP boundary                │</w:t>
      </w:r>
      <w:r>
        <w:br/>
      </w:r>
      <w:r>
        <w:rPr>
          <w:rStyle w:val="VerbatimChar"/>
        </w:rPr>
        <w:t xml:space="preserve">│  └── api/audit_verify.py             ← verification endpoint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CASE MANAGEMENT                                                    │</w:t>
      </w:r>
      <w:r>
        <w:br/>
      </w:r>
      <w:r>
        <w:rPr>
          <w:rStyle w:val="VerbatimChar"/>
        </w:rPr>
        <w:t xml:space="preserve">│  ├── domains/case_management/        ← CANONICAL OWNER              │</w:t>
      </w:r>
      <w:r>
        <w:br/>
      </w:r>
      <w:r>
        <w:rPr>
          <w:rStyle w:val="VerbatimChar"/>
        </w:rPr>
        <w:t xml:space="preserve">│  └── platform/case_management/       ← platform support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WORKFLOW                                                           │</w:t>
      </w:r>
      <w:r>
        <w:br/>
      </w:r>
      <w:r>
        <w:rPr>
          <w:rStyle w:val="VerbatimChar"/>
        </w:rPr>
        <w:t xml:space="preserve">│  └── platform/workflow/runtime/      ← workflow engine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CAPABILITIES:                                                      │</w:t>
      </w:r>
      <w:r>
        <w:br/>
      </w:r>
      <w:r>
        <w:rPr>
          <w:rStyle w:val="VerbatimChar"/>
        </w:rPr>
        <w:t xml:space="preserve">│    • Immutable append-only ledger                                   │</w:t>
      </w:r>
      <w:r>
        <w:br/>
      </w:r>
      <w:r>
        <w:rPr>
          <w:rStyle w:val="VerbatimChar"/>
        </w:rPr>
        <w:t xml:space="preserve">│    • Hash chain per tenant (SHA-256)                                │</w:t>
      </w:r>
      <w:r>
        <w:br/>
      </w:r>
      <w:r>
        <w:rPr>
          <w:rStyle w:val="VerbatimChar"/>
        </w:rPr>
        <w:t xml:space="preserve">│    • Case lifecycle (open → investigate → escalate → close)         │</w:t>
      </w:r>
      <w:r>
        <w:br/>
      </w:r>
      <w:r>
        <w:rPr>
          <w:rStyle w:val="VerbatimChar"/>
        </w:rPr>
        <w:t xml:space="preserve">│    • Evidence binding to cases                                      │</w:t>
      </w:r>
      <w:r>
        <w:br/>
      </w:r>
      <w:r>
        <w:rPr>
          <w:rStyle w:val="VerbatimChar"/>
        </w:rPr>
        <w:t xml:space="preserve">│    • SoD / 4-eyes approvals                                         │</w:t>
      </w:r>
      <w:r>
        <w:br/>
      </w:r>
      <w:r>
        <w:rPr>
          <w:rStyle w:val="VerbatimChar"/>
        </w:rPr>
        <w:t xml:space="preserve">│    • SAR/STR generation                                             │</w:t>
      </w:r>
      <w:r>
        <w:br/>
      </w:r>
      <w:r>
        <w:rPr>
          <w:rStyle w:val="VerbatimChar"/>
        </w:rPr>
        <w:t xml:space="preserve">│    • Regulatory reporting                                           │</w:t>
      </w:r>
      <w:r>
        <w:br/>
      </w:r>
      <w:r>
        <w:rPr>
          <w:rStyle w:val="VerbatimChar"/>
        </w:rPr>
        <w:t xml:space="preserve">│    • External notarization option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REGULATORY REPORTS:                                                │</w:t>
      </w:r>
      <w:r>
        <w:br/>
      </w:r>
      <w:r>
        <w:rPr>
          <w:rStyle w:val="VerbatimChar"/>
        </w:rPr>
        <w:t xml:space="preserve">│    • STR (Saudi canonical)                                          │</w:t>
      </w:r>
      <w:r>
        <w:br/>
      </w:r>
      <w:r>
        <w:rPr>
          <w:rStyle w:val="VerbatimChar"/>
        </w:rPr>
        <w:t xml:space="preserve">│    • SAR (interoperability alias)                                   │</w:t>
      </w:r>
      <w:r>
        <w:br/>
      </w:r>
      <w:r>
        <w:rPr>
          <w:rStyle w:val="VerbatimChar"/>
        </w:rPr>
        <w:t xml:space="preserve">│    • CTR (separate class)                                           │</w:t>
      </w:r>
      <w:r>
        <w:br/>
      </w:r>
      <w:r>
        <w:rPr>
          <w:rStyle w:val="VerbatimChar"/>
        </w:rPr>
        <w:t xml:space="preserve">│    • RegulatoryReport contract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Heading3"/>
      </w:pPr>
      <w:bookmarkStart w:id="26" w:name="_17fcc95bbc8d5ea0697572c3e65bdc721137068"/>
      <w:r>
        <w:t xml:space="preserve">Stage 11 — EXECUTIVE / OPERATIONS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STAGE 11 — EXECUTIVE / OPERATIONS  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├── platform/intelligence/          ← platform support             │</w:t>
      </w:r>
      <w:r>
        <w:br/>
      </w:r>
      <w:r>
        <w:rPr>
          <w:rStyle w:val="VerbatimChar"/>
        </w:rPr>
        <w:t xml:space="preserve">│  │   ├── executive/                  ← dashboard surface           │</w:t>
      </w:r>
      <w:r>
        <w:br/>
      </w:r>
      <w:r>
        <w:rPr>
          <w:rStyle w:val="VerbatimChar"/>
        </w:rPr>
        <w:t xml:space="preserve">│  │   └── subject_resolver.py         ← entity resolution            │</w:t>
      </w:r>
      <w:r>
        <w:br/>
      </w:r>
      <w:r>
        <w:rPr>
          <w:rStyle w:val="VerbatimChar"/>
        </w:rPr>
        <w:t xml:space="preserve">│  └── services/intelligence/          ← supporting runtime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FRONTEND:                                                          │</w:t>
      </w:r>
      <w:r>
        <w:br/>
      </w:r>
      <w:r>
        <w:rPr>
          <w:rStyle w:val="VerbatimChar"/>
        </w:rPr>
        <w:t xml:space="preserve">│    ├── /                     → Overview                              │</w:t>
      </w:r>
      <w:r>
        <w:br/>
      </w:r>
      <w:r>
        <w:rPr>
          <w:rStyle w:val="VerbatimChar"/>
        </w:rPr>
        <w:t xml:space="preserve">│    ├── /dashboard            → Command Center                        │</w:t>
      </w:r>
      <w:r>
        <w:br/>
      </w:r>
      <w:r>
        <w:rPr>
          <w:rStyle w:val="VerbatimChar"/>
        </w:rPr>
        <w:t xml:space="preserve">│    ├── /workspace/[module]   → ConnectedModuleWorkspace              │</w:t>
      </w:r>
      <w:r>
        <w:br/>
      </w:r>
      <w:r>
        <w:rPr>
          <w:rStyle w:val="VerbatimChar"/>
        </w:rPr>
        <w:t xml:space="preserve">│    ├── /workspace/aml        → AMLWorkspace                          │</w:t>
      </w:r>
      <w:r>
        <w:br/>
      </w:r>
      <w:r>
        <w:rPr>
          <w:rStyle w:val="VerbatimChar"/>
        </w:rPr>
        <w:t xml:space="preserve">│    ├── /workspace/kyc        → EngineRuntimeWorkspace                │</w:t>
      </w:r>
      <w:r>
        <w:br/>
      </w:r>
      <w:r>
        <w:rPr>
          <w:rStyle w:val="VerbatimChar"/>
        </w:rPr>
        <w:t xml:space="preserve">│    ├── /workspace/kyb        → EngineRuntimeWorkspace                │</w:t>
      </w:r>
      <w:r>
        <w:br/>
      </w:r>
      <w:r>
        <w:rPr>
          <w:rStyle w:val="VerbatimChar"/>
        </w:rPr>
        <w:t xml:space="preserve">│    ├── /gps-360              → GPS360Dashboard                       │</w:t>
      </w:r>
      <w:r>
        <w:br/>
      </w:r>
      <w:r>
        <w:rPr>
          <w:rStyle w:val="VerbatimChar"/>
        </w:rPr>
        <w:t xml:space="preserve">│    └── ... (canonical nav via navigationContract.ts)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CAPABILITIES:                                                      │</w:t>
      </w:r>
      <w:r>
        <w:br/>
      </w:r>
      <w:r>
        <w:rPr>
          <w:rStyle w:val="VerbatimChar"/>
        </w:rPr>
        <w:t xml:space="preserve">│    • Executive command center                                       │</w:t>
      </w:r>
      <w:r>
        <w:br/>
      </w:r>
      <w:r>
        <w:rPr>
          <w:rStyle w:val="VerbatimChar"/>
        </w:rPr>
        <w:t xml:space="preserve">│    • Real-time monitoring                                           │</w:t>
      </w:r>
      <w:r>
        <w:br/>
      </w:r>
      <w:r>
        <w:rPr>
          <w:rStyle w:val="VerbatimChar"/>
        </w:rPr>
        <w:t xml:space="preserve">│    • SLA tracking                                                   │</w:t>
      </w:r>
      <w:r>
        <w:br/>
      </w:r>
      <w:r>
        <w:rPr>
          <w:rStyle w:val="VerbatimChar"/>
        </w:rPr>
        <w:t xml:space="preserve">│    • Regulatory reporting dashboards                                │</w:t>
      </w:r>
      <w:r>
        <w:br/>
      </w:r>
      <w:r>
        <w:rPr>
          <w:rStyle w:val="VerbatimChar"/>
        </w:rPr>
        <w:t xml:space="preserve">│    • Alert distribution                                             │</w:t>
      </w:r>
      <w:r>
        <w:br/>
      </w:r>
      <w:r>
        <w:rPr>
          <w:rStyle w:val="VerbatimChar"/>
        </w:rPr>
        <w:t xml:space="preserve">│    • Drill-down analytics     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8ec8c4c7717813a4205b8ed9d6d20aa394e4507"/>
      <w:r>
        <w:t xml:space="preserve">§4 — Cross-Cutting Layers (تعمل عبر كل الـStages)</w:t>
      </w:r>
    </w:p>
    <w:p>
      <w:pPr>
        <w:pStyle w:val="Heading3"/>
      </w:pPr>
      <w:bookmarkStart w:id="28" w:name="_bc527011a4ce5a81b58bc3b33067f6c369158a1"/>
      <w:r>
        <w:t xml:space="preserve">4.1 Contract-First Layer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CONTRACT-FIRST ARCHITECTURE        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Every domain publishes:      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  src/domains/&lt;name&gt;/contracts/                                    │</w:t>
      </w:r>
      <w:r>
        <w:br/>
      </w:r>
      <w:r>
        <w:rPr>
          <w:rStyle w:val="VerbatimChar"/>
        </w:rPr>
        <w:t xml:space="preserve">│      ├── &lt;name&gt;_contract.py    public interface                     │</w:t>
      </w:r>
      <w:r>
        <w:br/>
      </w:r>
      <w:r>
        <w:rPr>
          <w:rStyle w:val="VerbatimChar"/>
        </w:rPr>
        <w:t xml:space="preserve">│      ├── &lt;name&gt;_events.py      events emitted                       │</w:t>
      </w:r>
      <w:r>
        <w:br/>
      </w:r>
      <w:r>
        <w:rPr>
          <w:rStyle w:val="VerbatimChar"/>
        </w:rPr>
        <w:t xml:space="preserve">│      └── &lt;name&gt;_errors.py      typed errors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CONTRACT RULES:                                                    │</w:t>
      </w:r>
      <w:r>
        <w:br/>
      </w:r>
      <w:r>
        <w:rPr>
          <w:rStyle w:val="VerbatimChar"/>
        </w:rPr>
        <w:t xml:space="preserve">│    1. Pure Python (no ORM, no HTTP, no DB)                          │</w:t>
      </w:r>
      <w:r>
        <w:br/>
      </w:r>
      <w:r>
        <w:rPr>
          <w:rStyle w:val="VerbatimChar"/>
        </w:rPr>
        <w:t xml:space="preserve">│    2. Versioned (major.minor)                                       │</w:t>
      </w:r>
      <w:r>
        <w:br/>
      </w:r>
      <w:r>
        <w:rPr>
          <w:rStyle w:val="VerbatimChar"/>
        </w:rPr>
        <w:t xml:space="preserve">│    3. Backwards-compatible within major                             │</w:t>
      </w:r>
      <w:r>
        <w:br/>
      </w:r>
      <w:r>
        <w:rPr>
          <w:rStyle w:val="VerbatimChar"/>
        </w:rPr>
        <w:t xml:space="preserve">│    4. Never expose internals                                        │</w:t>
      </w:r>
      <w:r>
        <w:br/>
      </w:r>
      <w:r>
        <w:rPr>
          <w:rStyle w:val="VerbatimChar"/>
        </w:rPr>
        <w:t xml:space="preserve">│    5. Cross-domain calls use contracts only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EVENT BUS:                                                         │</w:t>
      </w:r>
      <w:r>
        <w:br/>
      </w:r>
      <w:r>
        <w:rPr>
          <w:rStyle w:val="VerbatimChar"/>
        </w:rPr>
        <w:t xml:space="preserve">│    CURRENT:  src/core/contracts/events/  (contracts)                │</w:t>
      </w:r>
      <w:r>
        <w:br/>
      </w:r>
      <w:r>
        <w:rPr>
          <w:rStyle w:val="VerbatimChar"/>
        </w:rPr>
        <w:t xml:space="preserve">│    TARGET:   src/core/events/            (dispatcher)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Heading3"/>
      </w:pPr>
      <w:bookmarkStart w:id="29" w:name="_9115569529c99957699353ba7cd0b6faddce922"/>
      <w:r>
        <w:t xml:space="preserve">4.2 Multi-Tenancy Layer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TENANT ISOLATION (cross-cutting security boundary)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EDGE      X-Tenant-ID header (validated at ingress)                │</w:t>
      </w:r>
      <w:r>
        <w:br/>
      </w:r>
      <w:r>
        <w:rPr>
          <w:rStyle w:val="VerbatimChar"/>
        </w:rPr>
        <w:t xml:space="preserve">│     ↓                                                               │</w:t>
      </w:r>
      <w:r>
        <w:br/>
      </w:r>
      <w:r>
        <w:rPr>
          <w:rStyle w:val="VerbatimChar"/>
        </w:rPr>
        <w:t xml:space="preserve">│  AUTH      JWT claim tenant_id (cross-checked with header)          │</w:t>
      </w:r>
      <w:r>
        <w:br/>
      </w:r>
      <w:r>
        <w:rPr>
          <w:rStyle w:val="VerbatimChar"/>
        </w:rPr>
        <w:t xml:space="preserve">│     ↓                                                               │</w:t>
      </w:r>
      <w:r>
        <w:br/>
      </w:r>
      <w:r>
        <w:rPr>
          <w:rStyle w:val="VerbatimChar"/>
        </w:rPr>
        <w:t xml:space="preserve">│  APP       hisn.current_tenant() context (thread-local + async)     │</w:t>
      </w:r>
      <w:r>
        <w:br/>
      </w:r>
      <w:r>
        <w:rPr>
          <w:rStyle w:val="VerbatimChar"/>
        </w:rPr>
        <w:t xml:space="preserve">│     ↓                                                               │</w:t>
      </w:r>
      <w:r>
        <w:br/>
      </w:r>
      <w:r>
        <w:rPr>
          <w:rStyle w:val="VerbatimChar"/>
        </w:rPr>
        <w:t xml:space="preserve">│  DB        Row-Level Security policies + tenant_id FK on all tables │</w:t>
      </w:r>
      <w:r>
        <w:br/>
      </w:r>
      <w:r>
        <w:rPr>
          <w:rStyle w:val="VerbatimChar"/>
        </w:rPr>
        <w:t xml:space="preserve">│     ↓                                                               │</w:t>
      </w:r>
      <w:r>
        <w:br/>
      </w:r>
      <w:r>
        <w:rPr>
          <w:rStyle w:val="VerbatimChar"/>
        </w:rPr>
        <w:t xml:space="preserve">│  CACHE     tenant-scoped keys (prefixed)                            │</w:t>
      </w:r>
      <w:r>
        <w:br/>
      </w:r>
      <w:r>
        <w:rPr>
          <w:rStyle w:val="VerbatimChar"/>
        </w:rPr>
        <w:t xml:space="preserve">│     ↓                                                               │</w:t>
      </w:r>
      <w:r>
        <w:br/>
      </w:r>
      <w:r>
        <w:rPr>
          <w:rStyle w:val="VerbatimChar"/>
        </w:rPr>
        <w:t xml:space="preserve">│  FILES     tenant-scoped paths (S3 prefixes)                        │</w:t>
      </w:r>
      <w:r>
        <w:br/>
      </w:r>
      <w:r>
        <w:rPr>
          <w:rStyle w:val="VerbatimChar"/>
        </w:rPr>
        <w:t xml:space="preserve">│     ↓                                                               │</w:t>
      </w:r>
      <w:r>
        <w:br/>
      </w:r>
      <w:r>
        <w:rPr>
          <w:rStyle w:val="VerbatimChar"/>
        </w:rPr>
        <w:t xml:space="preserve">│  AUDIT     every event carries tenant_id                            │</w:t>
      </w:r>
      <w:r>
        <w:br/>
      </w:r>
      <w:r>
        <w:rPr>
          <w:rStyle w:val="VerbatimChar"/>
        </w:rPr>
        <w:t xml:space="preserve">│     ↓                                                               │</w:t>
      </w:r>
      <w:r>
        <w:br/>
      </w:r>
      <w:r>
        <w:rPr>
          <w:rStyle w:val="VerbatimChar"/>
        </w:rPr>
        <w:t xml:space="preserve">│  RATE      per-tenant counters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INVARIANT:  no query without active tenant context                 │</w:t>
      </w:r>
      <w:r>
        <w:br/>
      </w:r>
      <w:r>
        <w:rPr>
          <w:rStyle w:val="VerbatimChar"/>
        </w:rPr>
        <w:t xml:space="preserve">│  VERIFIED:   scripts/assurance/team_terminal_assurance.sh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Heading3"/>
      </w:pPr>
      <w:bookmarkStart w:id="30" w:name="_b78b14260d6bf57971f2be7244e5f14379bc92a"/>
      <w:r>
        <w:t xml:space="preserve">4.3 White-Label Layer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WHITE-LABEL MODEL                  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┌──────────────────────┐    ┌──────────────────────┐               │</w:t>
      </w:r>
      <w:r>
        <w:br/>
      </w:r>
      <w:r>
        <w:rPr>
          <w:rStyle w:val="VerbatimChar"/>
        </w:rPr>
        <w:t xml:space="preserve">│  │   CONFIGURABLE       │    │   NON-CONFIGURABLE   │               │</w:t>
      </w:r>
      <w:r>
        <w:br/>
      </w:r>
      <w:r>
        <w:rPr>
          <w:rStyle w:val="VerbatimChar"/>
        </w:rPr>
        <w:t xml:space="preserve">│  ├──────────────────────┤    ├──────────────────────┤               │</w:t>
      </w:r>
      <w:r>
        <w:br/>
      </w:r>
      <w:r>
        <w:rPr>
          <w:rStyle w:val="VerbatimChar"/>
        </w:rPr>
        <w:t xml:space="preserve">│  │ • logo / colors      │    │ • core contracts     │               │</w:t>
      </w:r>
      <w:r>
        <w:br/>
      </w:r>
      <w:r>
        <w:rPr>
          <w:rStyle w:val="VerbatimChar"/>
        </w:rPr>
        <w:t xml:space="preserve">│  │ • enabled caps       │    │ • registry behavior  │               │</w:t>
      </w:r>
      <w:r>
        <w:br/>
      </w:r>
      <w:r>
        <w:rPr>
          <w:rStyle w:val="VerbatimChar"/>
        </w:rPr>
        <w:t xml:space="preserve">│  │ • engine subset      │    │ • audit chain        │               │</w:t>
      </w:r>
      <w:r>
        <w:br/>
      </w:r>
      <w:r>
        <w:rPr>
          <w:rStyle w:val="VerbatimChar"/>
        </w:rPr>
        <w:t xml:space="preserve">│  │ • provider selection │    │ • evidence format    │               │</w:t>
      </w:r>
      <w:r>
        <w:br/>
      </w:r>
      <w:r>
        <w:rPr>
          <w:rStyle w:val="VerbatimChar"/>
        </w:rPr>
        <w:t xml:space="preserve">│  │ • policy (bounded)   │    │ • decision DNA       │               │</w:t>
      </w:r>
      <w:r>
        <w:br/>
      </w:r>
      <w:r>
        <w:rPr>
          <w:rStyle w:val="VerbatimChar"/>
        </w:rPr>
        <w:t xml:space="preserve">│  │ • SLAs / channels    │    │ • regulatory ctrls   │               │</w:t>
      </w:r>
      <w:r>
        <w:br/>
      </w:r>
      <w:r>
        <w:rPr>
          <w:rStyle w:val="VerbatimChar"/>
        </w:rPr>
        <w:t xml:space="preserve">│  │ • jurisdiction       │    │ • security baseline  │               │</w:t>
      </w:r>
      <w:r>
        <w:br/>
      </w:r>
      <w:r>
        <w:rPr>
          <w:rStyle w:val="VerbatimChar"/>
        </w:rPr>
        <w:t xml:space="preserve">│  └──────────────────────┘    └──────────────────────┘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TENANT CONFIG LAYOUT (TARGET):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  tenants/&lt;tenant_id&gt;/                                             │</w:t>
      </w:r>
      <w:r>
        <w:br/>
      </w:r>
      <w:r>
        <w:rPr>
          <w:rStyle w:val="VerbatimChar"/>
        </w:rPr>
        <w:t xml:space="preserve">│      ├── brand.json              (logo, colors, name)               │</w:t>
      </w:r>
      <w:r>
        <w:br/>
      </w:r>
      <w:r>
        <w:rPr>
          <w:rStyle w:val="VerbatimChar"/>
        </w:rPr>
        <w:t xml:space="preserve">│      ├── policy.json             ⊂ governed envelope                │</w:t>
      </w:r>
      <w:r>
        <w:br/>
      </w:r>
      <w:r>
        <w:rPr>
          <w:rStyle w:val="VerbatimChar"/>
        </w:rPr>
        <w:t xml:space="preserve">│      ├── capabilities.json       (feature flags)                    │</w:t>
      </w:r>
      <w:r>
        <w:br/>
      </w:r>
      <w:r>
        <w:rPr>
          <w:rStyle w:val="VerbatimChar"/>
        </w:rPr>
        <w:t xml:space="preserve">│      ├── providers.json          (Nafath / Wathq / ...)             │</w:t>
      </w:r>
      <w:r>
        <w:br/>
      </w:r>
      <w:r>
        <w:rPr>
          <w:rStyle w:val="VerbatimChar"/>
        </w:rPr>
        <w:t xml:space="preserve">│      └── integrations.json       (banking systems)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⚠️  This path is TARGET. It does NOT exist at baseline.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Heading3"/>
      </w:pPr>
      <w:bookmarkStart w:id="31" w:name="_b9f70473950eab49e282fd543120428214ab17f"/>
      <w:r>
        <w:t xml:space="preserve">4.4 Security + Compliance Layer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SECURITY &amp; INFORMATION PROTECTION  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ZERO TRUST                                                         │</w:t>
      </w:r>
      <w:r>
        <w:br/>
      </w:r>
      <w:r>
        <w:rPr>
          <w:rStyle w:val="VerbatimChar"/>
        </w:rPr>
        <w:t xml:space="preserve">│    • No implicit trust between layers                               │</w:t>
      </w:r>
      <w:r>
        <w:br/>
      </w:r>
      <w:r>
        <w:rPr>
          <w:rStyle w:val="VerbatimChar"/>
        </w:rPr>
        <w:t xml:space="preserve">│    • Every call authenticated + authorized                          │</w:t>
      </w:r>
      <w:r>
        <w:br/>
      </w:r>
      <w:r>
        <w:rPr>
          <w:rStyle w:val="VerbatimChar"/>
        </w:rPr>
        <w:t xml:space="preserve">│    • mTLS between services (microservices mode)                     │</w:t>
      </w:r>
      <w:r>
        <w:br/>
      </w:r>
      <w:r>
        <w:rPr>
          <w:rStyle w:val="VerbatimChar"/>
        </w:rPr>
        <w:t xml:space="preserve">│    • Per-service DB credentials (target)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ENCRYPTION                                                         │</w:t>
      </w:r>
      <w:r>
        <w:br/>
      </w:r>
      <w:r>
        <w:rPr>
          <w:rStyle w:val="VerbatimChar"/>
        </w:rPr>
        <w:t xml:space="preserve">│    • At rest:      AES-256                                          │</w:t>
      </w:r>
      <w:r>
        <w:br/>
      </w:r>
      <w:r>
        <w:rPr>
          <w:rStyle w:val="VerbatimChar"/>
        </w:rPr>
        <w:t xml:space="preserve">│    • In transit:   TLS 1.3 minimum                                  │</w:t>
      </w:r>
      <w:r>
        <w:br/>
      </w:r>
      <w:r>
        <w:rPr>
          <w:rStyle w:val="VerbatimChar"/>
        </w:rPr>
        <w:t xml:space="preserve">│    • Secrets:      Vault / KMS                                      │</w:t>
      </w:r>
      <w:r>
        <w:br/>
      </w:r>
      <w:r>
        <w:rPr>
          <w:rStyle w:val="VerbatimChar"/>
        </w:rPr>
        <w:t xml:space="preserve">│    • PII columns:  application-level AES-GCM                        │</w:t>
      </w:r>
      <w:r>
        <w:br/>
      </w:r>
      <w:r>
        <w:rPr>
          <w:rStyle w:val="VerbatimChar"/>
        </w:rPr>
        <w:t xml:space="preserve">│    • Audit chain:  SHA-256 hash-chained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PII HANDLING                                                       │</w:t>
      </w:r>
      <w:r>
        <w:br/>
      </w:r>
      <w:r>
        <w:rPr>
          <w:rStyle w:val="VerbatimChar"/>
        </w:rPr>
        <w:t xml:space="preserve">│    • Never leaves tenant boundary                                   │</w:t>
      </w:r>
      <w:r>
        <w:br/>
      </w:r>
      <w:r>
        <w:rPr>
          <w:rStyle w:val="VerbatimChar"/>
        </w:rPr>
        <w:t xml:space="preserve">│    • Never appears in logs                                          │</w:t>
      </w:r>
      <w:r>
        <w:br/>
      </w:r>
      <w:r>
        <w:rPr>
          <w:rStyle w:val="VerbatimChar"/>
        </w:rPr>
        <w:t xml:space="preserve">│    • Never crosses domains without contract                         │</w:t>
      </w:r>
      <w:r>
        <w:br/>
      </w:r>
      <w:r>
        <w:rPr>
          <w:rStyle w:val="VerbatimChar"/>
        </w:rPr>
        <w:t xml:space="preserve">│    • EvidenceReference stores references, not content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ACCESS CONTROL                                                     │</w:t>
      </w:r>
      <w:r>
        <w:br/>
      </w:r>
      <w:r>
        <w:rPr>
          <w:rStyle w:val="VerbatimChar"/>
        </w:rPr>
        <w:t xml:space="preserve">│    • RBAC + ABAC (policy-owned)                                     │</w:t>
      </w:r>
      <w:r>
        <w:br/>
      </w:r>
      <w:r>
        <w:rPr>
          <w:rStyle w:val="VerbatimChar"/>
        </w:rPr>
        <w:t xml:space="preserve">│    • SoD enforced at approval boundaries                            │</w:t>
      </w:r>
      <w:r>
        <w:br/>
      </w:r>
      <w:r>
        <w:rPr>
          <w:rStyle w:val="VerbatimChar"/>
        </w:rPr>
        <w:t xml:space="preserve">│    • 4-eyes where regulation requires                               │</w:t>
      </w:r>
      <w:r>
        <w:br/>
      </w:r>
      <w:r>
        <w:rPr>
          <w:rStyle w:val="VerbatimChar"/>
        </w:rPr>
        <w:t xml:space="preserve">│    • Every authorization audited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COMPLIANCE MAPPING                                                 │</w:t>
      </w:r>
      <w:r>
        <w:br/>
      </w:r>
      <w:r>
        <w:rPr>
          <w:rStyle w:val="VerbatimChar"/>
        </w:rPr>
        <w:t xml:space="preserve">│    SAMA:     AML/CFT, STR/SAR, screening, retention (≥10y)          │</w:t>
      </w:r>
      <w:r>
        <w:br/>
      </w:r>
      <w:r>
        <w:rPr>
          <w:rStyle w:val="VerbatimChar"/>
        </w:rPr>
        <w:t xml:space="preserve">│    NCA-ECC:  ECC 2-2024 domains 1,2,3,4 mapped to architecture      │</w:t>
      </w:r>
      <w:r>
        <w:br/>
      </w:r>
      <w:r>
        <w:rPr>
          <w:rStyle w:val="VerbatimChar"/>
        </w:rPr>
        <w:t xml:space="preserve">│    SDAIA:    PDPL principles (purpose, minimization, erasure)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_b4de92b0c2258314f93720152839a0b448d55a5"/>
      <w:r>
        <w:t xml:space="preserve">§5 — Auto-Provisioning Pipeline (Git → Live Tenant)</w:t>
      </w:r>
    </w:p>
    <w:p>
      <w:pPr>
        <w:pStyle w:val="FirstParagraph"/>
      </w:pPr>
      <w:r>
        <w:rPr>
          <w:b/>
          <w:bCs/>
        </w:rPr>
        <w:t xml:space="preserve">بمجرد أي git push → Provisioning مباشر.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AUTO-PROVISIONING PIPELINE         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 GIT PUSH                                                          │</w:t>
      </w:r>
      <w:r>
        <w:br/>
      </w:r>
      <w:r>
        <w:rPr>
          <w:rStyle w:val="VerbatimChar"/>
        </w:rPr>
        <w:t xml:space="preserve">│      │                                                              │</w:t>
      </w:r>
      <w:r>
        <w:br/>
      </w:r>
      <w:r>
        <w:rPr>
          <w:rStyle w:val="VerbatimChar"/>
        </w:rPr>
        <w:t xml:space="preserve">│      ▼                                                              │</w:t>
      </w:r>
      <w:r>
        <w:br/>
      </w:r>
      <w:r>
        <w:rPr>
          <w:rStyle w:val="VerbatimChar"/>
        </w:rPr>
        <w:t xml:space="preserve">│   ┌──────────────────────────────────────────────┐                  │</w:t>
      </w:r>
      <w:r>
        <w:br/>
      </w:r>
      <w:r>
        <w:rPr>
          <w:rStyle w:val="VerbatimChar"/>
        </w:rPr>
        <w:t xml:space="preserve">│   │  CI: BUILD                                   │                  │</w:t>
      </w:r>
      <w:r>
        <w:br/>
      </w:r>
      <w:r>
        <w:rPr>
          <w:rStyle w:val="VerbatimChar"/>
        </w:rPr>
        <w:t xml:space="preserve">│   │   • Python tests (pytest)                    │                  │</w:t>
      </w:r>
      <w:r>
        <w:br/>
      </w:r>
      <w:r>
        <w:rPr>
          <w:rStyle w:val="VerbatimChar"/>
        </w:rPr>
        <w:t xml:space="preserve">│   │   • Frontend typecheck (tsc)                 │                  │</w:t>
      </w:r>
      <w:r>
        <w:br/>
      </w:r>
      <w:r>
        <w:rPr>
          <w:rStyle w:val="VerbatimChar"/>
        </w:rPr>
        <w:t xml:space="preserve">│   │   • Contract tests (architecture)            │                  │</w:t>
      </w:r>
      <w:r>
        <w:br/>
      </w:r>
      <w:r>
        <w:rPr>
          <w:rStyle w:val="VerbatimChar"/>
        </w:rPr>
        <w:t xml:space="preserve">│   │   • Security scan (SAST)                     │                  │</w:t>
      </w:r>
      <w:r>
        <w:br/>
      </w:r>
      <w:r>
        <w:rPr>
          <w:rStyle w:val="VerbatimChar"/>
        </w:rPr>
        <w:t xml:space="preserve">│   │   • Dependency scan (SCA / SBOM)             │                  │</w:t>
      </w:r>
      <w:r>
        <w:br/>
      </w:r>
      <w:r>
        <w:rPr>
          <w:rStyle w:val="VerbatimChar"/>
        </w:rPr>
        <w:t xml:space="preserve">│   │   • Container build                          │                  │</w:t>
      </w:r>
      <w:r>
        <w:br/>
      </w:r>
      <w:r>
        <w:rPr>
          <w:rStyle w:val="VerbatimChar"/>
        </w:rPr>
        <w:t xml:space="preserve">│   └──────────────────────┬───────────────────────┘                  │</w:t>
      </w:r>
      <w:r>
        <w:br/>
      </w:r>
      <w:r>
        <w:rPr>
          <w:rStyle w:val="VerbatimChar"/>
        </w:rPr>
        <w:t xml:space="preserve">│                          │                                          │</w:t>
      </w:r>
      <w:r>
        <w:br/>
      </w:r>
      <w:r>
        <w:rPr>
          <w:rStyle w:val="VerbatimChar"/>
        </w:rPr>
        <w:t xml:space="preserve">│                          ▼                                          │</w:t>
      </w:r>
      <w:r>
        <w:br/>
      </w:r>
      <w:r>
        <w:rPr>
          <w:rStyle w:val="VerbatimChar"/>
        </w:rPr>
        <w:t xml:space="preserve">│   ┌──────────────────────────────────────────────┐                  │</w:t>
      </w:r>
      <w:r>
        <w:br/>
      </w:r>
      <w:r>
        <w:rPr>
          <w:rStyle w:val="VerbatimChar"/>
        </w:rPr>
        <w:t xml:space="preserve">│   │  CD: STAGING DEPLOY                          │                  │</w:t>
      </w:r>
      <w:r>
        <w:br/>
      </w:r>
      <w:r>
        <w:rPr>
          <w:rStyle w:val="VerbatimChar"/>
        </w:rPr>
        <w:t xml:space="preserve">│   │   • Migrations run                           │                  │</w:t>
      </w:r>
      <w:r>
        <w:br/>
      </w:r>
      <w:r>
        <w:rPr>
          <w:rStyle w:val="VerbatimChar"/>
        </w:rPr>
        <w:t xml:space="preserve">│   │   • Smoke tests                              │                  │</w:t>
      </w:r>
      <w:r>
        <w:br/>
      </w:r>
      <w:r>
        <w:rPr>
          <w:rStyle w:val="VerbatimChar"/>
        </w:rPr>
        <w:t xml:space="preserve">│   │   • Integration tests                        │                  │</w:t>
      </w:r>
      <w:r>
        <w:br/>
      </w:r>
      <w:r>
        <w:rPr>
          <w:rStyle w:val="VerbatimChar"/>
        </w:rPr>
        <w:t xml:space="preserve">│   │   • RLS assurance harness                    │                  │</w:t>
      </w:r>
      <w:r>
        <w:br/>
      </w:r>
      <w:r>
        <w:rPr>
          <w:rStyle w:val="VerbatimChar"/>
        </w:rPr>
        <w:t xml:space="preserve">│   └──────────────────────┬───────────────────────┘                  │</w:t>
      </w:r>
      <w:r>
        <w:br/>
      </w:r>
      <w:r>
        <w:rPr>
          <w:rStyle w:val="VerbatimChar"/>
        </w:rPr>
        <w:t xml:space="preserve">│                          │                                          │</w:t>
      </w:r>
      <w:r>
        <w:br/>
      </w:r>
      <w:r>
        <w:rPr>
          <w:rStyle w:val="VerbatimChar"/>
        </w:rPr>
        <w:t xml:space="preserve">│                          ▼                                          │</w:t>
      </w:r>
      <w:r>
        <w:br/>
      </w:r>
      <w:r>
        <w:rPr>
          <w:rStyle w:val="VerbatimChar"/>
        </w:rPr>
        <w:t xml:space="preserve">│   ┌──────────────────────────────────────────────┐                  │</w:t>
      </w:r>
      <w:r>
        <w:br/>
      </w:r>
      <w:r>
        <w:rPr>
          <w:rStyle w:val="VerbatimChar"/>
        </w:rPr>
        <w:t xml:space="preserve">│   │  TENANT PROVISIONING                         │                  │</w:t>
      </w:r>
      <w:r>
        <w:br/>
      </w:r>
      <w:r>
        <w:rPr>
          <w:rStyle w:val="VerbatimChar"/>
        </w:rPr>
        <w:t xml:space="preserve">│   │   • Create tenant schema                     │                  │</w:t>
      </w:r>
      <w:r>
        <w:br/>
      </w:r>
      <w:r>
        <w:rPr>
          <w:rStyle w:val="VerbatimChar"/>
        </w:rPr>
        <w:t xml:space="preserve">│   │   • Apply RLS policies                       │                  │</w:t>
      </w:r>
      <w:r>
        <w:br/>
      </w:r>
      <w:r>
        <w:rPr>
          <w:rStyle w:val="VerbatimChar"/>
        </w:rPr>
        <w:t xml:space="preserve">│   │   • Seed policy envelope                     │                  │</w:t>
      </w:r>
      <w:r>
        <w:br/>
      </w:r>
      <w:r>
        <w:rPr>
          <w:rStyle w:val="VerbatimChar"/>
        </w:rPr>
        <w:t xml:space="preserve">│   │   • Configure providers                      │                  │</w:t>
      </w:r>
      <w:r>
        <w:br/>
      </w:r>
      <w:r>
        <w:rPr>
          <w:rStyle w:val="VerbatimChar"/>
        </w:rPr>
        <w:t xml:space="preserve">│   │   • Generate API keys                        │                  │</w:t>
      </w:r>
      <w:r>
        <w:br/>
      </w:r>
      <w:r>
        <w:rPr>
          <w:rStyle w:val="VerbatimChar"/>
        </w:rPr>
        <w:t xml:space="preserve">│   │   • Bind brand config                        │                  │</w:t>
      </w:r>
      <w:r>
        <w:br/>
      </w:r>
      <w:r>
        <w:rPr>
          <w:rStyle w:val="VerbatimChar"/>
        </w:rPr>
        <w:t xml:space="preserve">│   │   • Emit provisioning audit event            │                  │</w:t>
      </w:r>
      <w:r>
        <w:br/>
      </w:r>
      <w:r>
        <w:rPr>
          <w:rStyle w:val="VerbatimChar"/>
        </w:rPr>
        <w:t xml:space="preserve">│   └──────────────────────┬───────────────────────┘                  │</w:t>
      </w:r>
      <w:r>
        <w:br/>
      </w:r>
      <w:r>
        <w:rPr>
          <w:rStyle w:val="VerbatimChar"/>
        </w:rPr>
        <w:t xml:space="preserve">│                          │                                          │</w:t>
      </w:r>
      <w:r>
        <w:br/>
      </w:r>
      <w:r>
        <w:rPr>
          <w:rStyle w:val="VerbatimChar"/>
        </w:rPr>
        <w:t xml:space="preserve">│                          ▼                                          │</w:t>
      </w:r>
      <w:r>
        <w:br/>
      </w:r>
      <w:r>
        <w:rPr>
          <w:rStyle w:val="VerbatimChar"/>
        </w:rPr>
        <w:t xml:space="preserve">│   ┌──────────────────────────────────────────────┐                  │</w:t>
      </w:r>
      <w:r>
        <w:br/>
      </w:r>
      <w:r>
        <w:rPr>
          <w:rStyle w:val="VerbatimChar"/>
        </w:rPr>
        <w:t xml:space="preserve">│   │  API INTEGRATION                             │                  │</w:t>
      </w:r>
      <w:r>
        <w:br/>
      </w:r>
      <w:r>
        <w:rPr>
          <w:rStyle w:val="VerbatimChar"/>
        </w:rPr>
        <w:t xml:space="preserve">│   │   • Webhook registration                     │                  │</w:t>
      </w:r>
      <w:r>
        <w:br/>
      </w:r>
      <w:r>
        <w:rPr>
          <w:rStyle w:val="VerbatimChar"/>
        </w:rPr>
        <w:t xml:space="preserve">│   │   • mTLS certificate exchange                │                  │</w:t>
      </w:r>
      <w:r>
        <w:br/>
      </w:r>
      <w:r>
        <w:rPr>
          <w:rStyle w:val="VerbatimChar"/>
        </w:rPr>
        <w:t xml:space="preserve">│   │   • Provider handshake                       │                  │</w:t>
      </w:r>
      <w:r>
        <w:br/>
      </w:r>
      <w:r>
        <w:rPr>
          <w:rStyle w:val="VerbatimChar"/>
        </w:rPr>
        <w:t xml:space="preserve">│   │   • Contract validation                      │                  │</w:t>
      </w:r>
      <w:r>
        <w:br/>
      </w:r>
      <w:r>
        <w:rPr>
          <w:rStyle w:val="VerbatimChar"/>
        </w:rPr>
        <w:t xml:space="preserve">│   └──────────────────────┬───────────────────────┘                  │</w:t>
      </w:r>
      <w:r>
        <w:br/>
      </w:r>
      <w:r>
        <w:rPr>
          <w:rStyle w:val="VerbatimChar"/>
        </w:rPr>
        <w:t xml:space="preserve">│                          │                                          │</w:t>
      </w:r>
      <w:r>
        <w:br/>
      </w:r>
      <w:r>
        <w:rPr>
          <w:rStyle w:val="VerbatimChar"/>
        </w:rPr>
        <w:t xml:space="preserve">│                          ▼                                          │</w:t>
      </w:r>
      <w:r>
        <w:br/>
      </w:r>
      <w:r>
        <w:rPr>
          <w:rStyle w:val="VerbatimChar"/>
        </w:rPr>
        <w:t xml:space="preserve">│   ┌──────────────────────────────────────────────┐                  │</w:t>
      </w:r>
      <w:r>
        <w:br/>
      </w:r>
      <w:r>
        <w:rPr>
          <w:rStyle w:val="VerbatimChar"/>
        </w:rPr>
        <w:t xml:space="preserve">│   │  LIVE                                        │                  │</w:t>
      </w:r>
      <w:r>
        <w:br/>
      </w:r>
      <w:r>
        <w:rPr>
          <w:rStyle w:val="VerbatimChar"/>
        </w:rPr>
        <w:t xml:space="preserve">│   │   • Tenant active                            │                  │</w:t>
      </w:r>
      <w:r>
        <w:br/>
      </w:r>
      <w:r>
        <w:rPr>
          <w:rStyle w:val="VerbatimChar"/>
        </w:rPr>
        <w:t xml:space="preserve">│   │   • Health checks running                    │                  │</w:t>
      </w:r>
      <w:r>
        <w:br/>
      </w:r>
      <w:r>
        <w:rPr>
          <w:rStyle w:val="VerbatimChar"/>
        </w:rPr>
        <w:t xml:space="preserve">│   │   • Audit chain initialized                  │                  │</w:t>
      </w:r>
      <w:r>
        <w:br/>
      </w:r>
      <w:r>
        <w:rPr>
          <w:rStyle w:val="VerbatimChar"/>
        </w:rPr>
        <w:t xml:space="preserve">│   │   • Executive dashboard populated            │                  │</w:t>
      </w:r>
      <w:r>
        <w:br/>
      </w:r>
      <w:r>
        <w:rPr>
          <w:rStyle w:val="VerbatimChar"/>
        </w:rPr>
        <w:t xml:space="preserve">│   └──────────────────────────────────────────────┘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TRIGGER:   git push origin main (tagged release)                   │</w:t>
      </w:r>
      <w:r>
        <w:br/>
      </w:r>
      <w:r>
        <w:rPr>
          <w:rStyle w:val="VerbatimChar"/>
        </w:rPr>
        <w:t xml:space="preserve">│  TARGET:    &lt; 15 minutes from push to live tenant                   │</w:t>
      </w:r>
      <w:r>
        <w:br/>
      </w:r>
      <w:r>
        <w:rPr>
          <w:rStyle w:val="VerbatimChar"/>
        </w:rPr>
        <w:t xml:space="preserve">│  ZERO:      manual steps      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3" w:name="_7a0c5a0d19b7dc44f112d5ae7d73d6cb6d98ae0"/>
      <w:r>
        <w:t xml:space="preserve">§6 — API Integration Layer (Banking)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DIRECT API INTEGRATIONS (no logic outside core)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INBOUND (External → HISN)    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  ISO 20022  ──┐                                                   │</w:t>
      </w:r>
      <w:r>
        <w:br/>
      </w:r>
      <w:r>
        <w:rPr>
          <w:rStyle w:val="VerbatimChar"/>
        </w:rPr>
        <w:t xml:space="preserve">│    MT940/942  ──┤                                                   │</w:t>
      </w:r>
      <w:r>
        <w:br/>
      </w:r>
      <w:r>
        <w:rPr>
          <w:rStyle w:val="VerbatimChar"/>
        </w:rPr>
        <w:t xml:space="preserve">│    SWIFT      ──┼──►  API  ──►  Ingestion  ──►  Spine              │</w:t>
      </w:r>
      <w:r>
        <w:br/>
      </w:r>
      <w:r>
        <w:rPr>
          <w:rStyle w:val="VerbatimChar"/>
        </w:rPr>
        <w:t xml:space="preserve">│    SARIE      ──┤                                                   │</w:t>
      </w:r>
      <w:r>
        <w:br/>
      </w:r>
      <w:r>
        <w:rPr>
          <w:rStyle w:val="VerbatimChar"/>
        </w:rPr>
        <w:t xml:space="preserve">│    Mada       ──┤                                                   │</w:t>
      </w:r>
      <w:r>
        <w:br/>
      </w:r>
      <w:r>
        <w:rPr>
          <w:rStyle w:val="VerbatimChar"/>
        </w:rPr>
        <w:t xml:space="preserve">│    Custom     ──┘             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OUTBOUND (HISN → External)   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  Spine  ──►  Decision  ──►  API  ──┬──►  Core Banking             │</w:t>
      </w:r>
      <w:r>
        <w:br/>
      </w:r>
      <w:r>
        <w:rPr>
          <w:rStyle w:val="VerbatimChar"/>
        </w:rPr>
        <w:t xml:space="preserve">│                                       ├──►  Reporting gateway       │</w:t>
      </w:r>
      <w:r>
        <w:br/>
      </w:r>
      <w:r>
        <w:rPr>
          <w:rStyle w:val="VerbatimChar"/>
        </w:rPr>
        <w:t xml:space="preserve">│                                       ├──►  SAMA reporting          │</w:t>
      </w:r>
      <w:r>
        <w:br/>
      </w:r>
      <w:r>
        <w:rPr>
          <w:rStyle w:val="VerbatimChar"/>
        </w:rPr>
        <w:t xml:space="preserve">│                                       ├──►  Case system             │</w:t>
      </w:r>
      <w:r>
        <w:br/>
      </w:r>
      <w:r>
        <w:rPr>
          <w:rStyle w:val="VerbatimChar"/>
        </w:rPr>
        <w:t xml:space="preserve">│                                       └──►  Alert channels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AUTH:                                                              │</w:t>
      </w:r>
      <w:r>
        <w:br/>
      </w:r>
      <w:r>
        <w:rPr>
          <w:rStyle w:val="VerbatimChar"/>
        </w:rPr>
        <w:t xml:space="preserve">│    • mTLS between HISN and bank systems                             │</w:t>
      </w:r>
      <w:r>
        <w:br/>
      </w:r>
      <w:r>
        <w:rPr>
          <w:rStyle w:val="VerbatimChar"/>
        </w:rPr>
        <w:t xml:space="preserve">│    • OAuth 2.0 client credentials for APIs                          │</w:t>
      </w:r>
      <w:r>
        <w:br/>
      </w:r>
      <w:r>
        <w:rPr>
          <w:rStyle w:val="VerbatimChar"/>
        </w:rPr>
        <w:t xml:space="preserve">│    • API keys with tenant scoping                                   │</w:t>
      </w:r>
      <w:r>
        <w:br/>
      </w:r>
      <w:r>
        <w:rPr>
          <w:rStyle w:val="VerbatimChar"/>
        </w:rPr>
        <w:t xml:space="preserve">│    • IP allowlist             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RULE:                                                              │</w:t>
      </w:r>
      <w:r>
        <w:br/>
      </w:r>
      <w:r>
        <w:rPr>
          <w:rStyle w:val="VerbatimChar"/>
        </w:rPr>
        <w:t xml:space="preserve">│    ⚠️  NO business logic outside src/                               │</w:t>
      </w:r>
      <w:r>
        <w:br/>
      </w:r>
      <w:r>
        <w:rPr>
          <w:rStyle w:val="VerbatimChar"/>
        </w:rPr>
        <w:t xml:space="preserve">│    ⚠️  API is transport only                                        │</w:t>
      </w:r>
      <w:r>
        <w:br/>
      </w:r>
      <w:r>
        <w:rPr>
          <w:rStyle w:val="VerbatimChar"/>
        </w:rPr>
        <w:t xml:space="preserve">│    ⚠️  All transformation via adapters in src/platform/adapters/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4" w:name="_30078ba6002a7545a51569105d35ec070e8f74b"/>
      <w:r>
        <w:t xml:space="preserve">§7 — Sector Adaptability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SECTOR PROFILES (tenant-level configuration)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┌───────────────┐  ┌───────────────┐  ┌───────────────┐            │</w:t>
      </w:r>
      <w:r>
        <w:br/>
      </w:r>
      <w:r>
        <w:rPr>
          <w:rStyle w:val="VerbatimChar"/>
        </w:rPr>
        <w:t xml:space="preserve">│  │   BANKING     │  │   INSURANCE   │  │   EXCHANGE    │            │</w:t>
      </w:r>
      <w:r>
        <w:br/>
      </w:r>
      <w:r>
        <w:rPr>
          <w:rStyle w:val="VerbatimChar"/>
        </w:rPr>
        <w:t xml:space="preserve">│  ├───────────────┤  ├───────────────┤  ├───────────────┤            │</w:t>
      </w:r>
      <w:r>
        <w:br/>
      </w:r>
      <w:r>
        <w:rPr>
          <w:rStyle w:val="VerbatimChar"/>
        </w:rPr>
        <w:t xml:space="preserve">│  │ Regulator:    │  │ Regulator:    │  │ Regulator:    │            │</w:t>
      </w:r>
      <w:r>
        <w:br/>
      </w:r>
      <w:r>
        <w:rPr>
          <w:rStyle w:val="VerbatimChar"/>
        </w:rPr>
        <w:t xml:space="preserve">│  │   SAMA        │  │   SAMA / IA   │  │   CMA / SAMA  │            │</w:t>
      </w:r>
      <w:r>
        <w:br/>
      </w:r>
      <w:r>
        <w:rPr>
          <w:rStyle w:val="VerbatimChar"/>
        </w:rPr>
        <w:t xml:space="preserve">│  │               │  │               │  │               │            │</w:t>
      </w:r>
      <w:r>
        <w:br/>
      </w:r>
      <w:r>
        <w:rPr>
          <w:rStyle w:val="VerbatimChar"/>
        </w:rPr>
        <w:t xml:space="preserve">│  │ Focus:        │  │ Focus:        │  │ Focus:        │            │</w:t>
      </w:r>
      <w:r>
        <w:br/>
      </w:r>
      <w:r>
        <w:rPr>
          <w:rStyle w:val="VerbatimChar"/>
        </w:rPr>
        <w:t xml:space="preserve">│  │ • AML/CFT     │  │ • Fraud       │  │ • Market      │            │</w:t>
      </w:r>
      <w:r>
        <w:br/>
      </w:r>
      <w:r>
        <w:rPr>
          <w:rStyle w:val="VerbatimChar"/>
        </w:rPr>
        <w:t xml:space="preserve">│  │ • KYC/KYB     │  │ • Claims      │  │   abuse       │            │</w:t>
      </w:r>
      <w:r>
        <w:br/>
      </w:r>
      <w:r>
        <w:rPr>
          <w:rStyle w:val="VerbatimChar"/>
        </w:rPr>
        <w:t xml:space="preserve">│  │ • Sanctions   │  │ • AML         │  │ • Insider     │            │</w:t>
      </w:r>
      <w:r>
        <w:br/>
      </w:r>
      <w:r>
        <w:rPr>
          <w:rStyle w:val="VerbatimChar"/>
        </w:rPr>
        <w:t xml:space="preserve">│  │ • Fraud       │  │ • KYC         │  │ • Market      │            │</w:t>
      </w:r>
      <w:r>
        <w:br/>
      </w:r>
      <w:r>
        <w:rPr>
          <w:rStyle w:val="VerbatimChar"/>
        </w:rPr>
        <w:t xml:space="preserve">│  │ • Reporting   │  │               │  │   manipulation│            │</w:t>
      </w:r>
      <w:r>
        <w:br/>
      </w:r>
      <w:r>
        <w:rPr>
          <w:rStyle w:val="VerbatimChar"/>
        </w:rPr>
        <w:t xml:space="preserve">│  │               │  │               │  │ • Reporting   │            │</w:t>
      </w:r>
      <w:r>
        <w:br/>
      </w:r>
      <w:r>
        <w:rPr>
          <w:rStyle w:val="VerbatimChar"/>
        </w:rPr>
        <w:t xml:space="preserve">│  └───────────────┘  └───────────────┘  └───────────────┘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┌───────────────┐  ┌───────────────┐                               │</w:t>
      </w:r>
      <w:r>
        <w:br/>
      </w:r>
      <w:r>
        <w:rPr>
          <w:rStyle w:val="VerbatimChar"/>
        </w:rPr>
        <w:t xml:space="preserve">│  │   CAPITAL     │  │   PAYMENTS    │                               │</w:t>
      </w:r>
      <w:r>
        <w:br/>
      </w:r>
      <w:r>
        <w:rPr>
          <w:rStyle w:val="VerbatimChar"/>
        </w:rPr>
        <w:t xml:space="preserve">│  │   MARKETS     │  │   / FINTECH   │                               │</w:t>
      </w:r>
      <w:r>
        <w:br/>
      </w:r>
      <w:r>
        <w:rPr>
          <w:rStyle w:val="VerbatimChar"/>
        </w:rPr>
        <w:t xml:space="preserve">│  ├───────────────┤  ├───────────────┤                               │</w:t>
      </w:r>
      <w:r>
        <w:br/>
      </w:r>
      <w:r>
        <w:rPr>
          <w:rStyle w:val="VerbatimChar"/>
        </w:rPr>
        <w:t xml:space="preserve">│  │ Regulator:    │  │ Regulator:    │                               │</w:t>
      </w:r>
      <w:r>
        <w:br/>
      </w:r>
      <w:r>
        <w:rPr>
          <w:rStyle w:val="VerbatimChar"/>
        </w:rPr>
        <w:t xml:space="preserve">│  │   CMA         │  │   SAMA        │                               │</w:t>
      </w:r>
      <w:r>
        <w:br/>
      </w:r>
      <w:r>
        <w:rPr>
          <w:rStyle w:val="VerbatimChar"/>
        </w:rPr>
        <w:t xml:space="preserve">│  │               │  │               │                               │</w:t>
      </w:r>
      <w:r>
        <w:br/>
      </w:r>
      <w:r>
        <w:rPr>
          <w:rStyle w:val="VerbatimChar"/>
        </w:rPr>
        <w:t xml:space="preserve">│  │ Focus:        │  │ Focus:        │                               │</w:t>
      </w:r>
      <w:r>
        <w:br/>
      </w:r>
      <w:r>
        <w:rPr>
          <w:rStyle w:val="VerbatimChar"/>
        </w:rPr>
        <w:t xml:space="preserve">│  │ • Trade       │  │ • TX monitor  │                               │</w:t>
      </w:r>
      <w:r>
        <w:br/>
      </w:r>
      <w:r>
        <w:rPr>
          <w:rStyle w:val="VerbatimChar"/>
        </w:rPr>
        <w:t xml:space="preserve">│  │   surveillance│  │ • Fraud       │                               │</w:t>
      </w:r>
      <w:r>
        <w:br/>
      </w:r>
      <w:r>
        <w:rPr>
          <w:rStyle w:val="VerbatimChar"/>
        </w:rPr>
        <w:t xml:space="preserve">│  │ • Best exec   │  │ • KYC (light) │                               │</w:t>
      </w:r>
      <w:r>
        <w:br/>
      </w:r>
      <w:r>
        <w:rPr>
          <w:rStyle w:val="VerbatimChar"/>
        </w:rPr>
        <w:t xml:space="preserve">│  │ • Reporting   │  │ • AML         │                               │</w:t>
      </w:r>
      <w:r>
        <w:br/>
      </w:r>
      <w:r>
        <w:rPr>
          <w:rStyle w:val="VerbatimChar"/>
        </w:rPr>
        <w:t xml:space="preserve">│  └───────────────┘  └───────────────┘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ADAPTATION MECHANISM:                                              │</w:t>
      </w:r>
      <w:r>
        <w:br/>
      </w:r>
      <w:r>
        <w:rPr>
          <w:rStyle w:val="VerbatimChar"/>
        </w:rPr>
        <w:t xml:space="preserve">│    • Same spine (EVENT → DECISION → AUDIT)                          │</w:t>
      </w:r>
      <w:r>
        <w:br/>
      </w:r>
      <w:r>
        <w:rPr>
          <w:rStyle w:val="VerbatimChar"/>
        </w:rPr>
        <w:t xml:space="preserve">│    • Different: policy envelope, enabled capabilities,              │</w:t>
      </w:r>
      <w:r>
        <w:br/>
      </w:r>
      <w:r>
        <w:rPr>
          <w:rStyle w:val="VerbatimChar"/>
        </w:rPr>
        <w:t xml:space="preserve">│                 regulatory reports, provider set                    │</w:t>
      </w:r>
      <w:r>
        <w:br/>
      </w:r>
      <w:r>
        <w:rPr>
          <w:rStyle w:val="VerbatimChar"/>
        </w:rPr>
        <w:t xml:space="preserve">│    • Configured per tenant (not code per sector)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5" w:name="_b1a9a4debb2eb94967d4b8e807f77d5682ca51b"/>
      <w:r>
        <w:t xml:space="preserve">§8 — Microservices Extraction Seams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EXTRACTION SEAMS (pre-designed, not extracted yet)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When to extract:  Only when modular monolith is clean.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SEAM 1  ──► KYC + KYB (identity cluster)                          │</w:t>
      </w:r>
      <w:r>
        <w:br/>
      </w:r>
      <w:r>
        <w:rPr>
          <w:rStyle w:val="VerbatimChar"/>
        </w:rPr>
        <w:t xml:space="preserve">│              same providers, same lifecycle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SEAM 2  ──► Screening + PEP + Sanctions (screening cluster)        │</w:t>
      </w:r>
      <w:r>
        <w:br/>
      </w:r>
      <w:r>
        <w:rPr>
          <w:rStyle w:val="VerbatimChar"/>
        </w:rPr>
        <w:t xml:space="preserve">│              same lists, same re-screen cadence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SEAM 3  ──► AML + Fraud (detection cluster)                        │</w:t>
      </w:r>
      <w:r>
        <w:br/>
      </w:r>
      <w:r>
        <w:rPr>
          <w:rStyle w:val="VerbatimChar"/>
        </w:rPr>
        <w:t xml:space="preserve">│              same transactions, complementary rules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SEAM 4  ──► Graph (compute-heavy)                                  │</w:t>
      </w:r>
      <w:r>
        <w:br/>
      </w:r>
      <w:r>
        <w:rPr>
          <w:rStyle w:val="VerbatimChar"/>
        </w:rPr>
        <w:t xml:space="preserve">│              separate scaling, separate DB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SEAM 5  ──► Decision + Evidence (audit-critical)                   │</w:t>
      </w:r>
      <w:r>
        <w:br/>
      </w:r>
      <w:r>
        <w:rPr>
          <w:rStyle w:val="VerbatimChar"/>
        </w:rPr>
        <w:t xml:space="preserve">│              separate compliance boundary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SEAM 6  ──► Case Management (workflow state)                       │</w:t>
      </w:r>
      <w:r>
        <w:br/>
      </w:r>
      <w:r>
        <w:rPr>
          <w:rStyle w:val="VerbatimChar"/>
        </w:rPr>
        <w:t xml:space="preserve">│              separate state machine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SEAM 7  ──► Intelligence (read-only analytics)                     │</w:t>
      </w:r>
      <w:r>
        <w:br/>
      </w:r>
      <w:r>
        <w:rPr>
          <w:rStyle w:val="VerbatimChar"/>
        </w:rPr>
        <w:t xml:space="preserve">│              separate read model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EACH SEAM:                                                         │</w:t>
      </w:r>
      <w:r>
        <w:br/>
      </w:r>
      <w:r>
        <w:rPr>
          <w:rStyle w:val="VerbatimChar"/>
        </w:rPr>
        <w:t xml:space="preserve">│    ├── 1 domain cluster                                             │</w:t>
      </w:r>
      <w:r>
        <w:br/>
      </w:r>
      <w:r>
        <w:rPr>
          <w:rStyle w:val="VerbatimChar"/>
        </w:rPr>
        <w:t xml:space="preserve">│    ├── 1 contract boundary                                          │</w:t>
      </w:r>
      <w:r>
        <w:br/>
      </w:r>
      <w:r>
        <w:rPr>
          <w:rStyle w:val="VerbatimChar"/>
        </w:rPr>
        <w:t xml:space="preserve">│    ├── 1 database schema ownership                                  │</w:t>
      </w:r>
      <w:r>
        <w:br/>
      </w:r>
      <w:r>
        <w:rPr>
          <w:rStyle w:val="VerbatimChar"/>
        </w:rPr>
        <w:t xml:space="preserve">│    └── 1 deployable unit                     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6" w:name="_8b32a471b5544a3b53c1f3c77aeca9d2d429850"/>
      <w:r>
        <w:t xml:space="preserve">§9 — The Three Views of HISN</w:t>
      </w:r>
    </w:p>
    <w:p>
      <w:pPr>
        <w:pStyle w:val="Heading3"/>
      </w:pPr>
      <w:bookmarkStart w:id="37" w:name="_7ff5ea814cae3e262b486041785b3ec55c09555"/>
      <w:r>
        <w:t xml:space="preserve">View 1 — Executive Architecture (page 1)</w:t>
      </w:r>
    </w:p>
    <w:p>
      <w:pPr>
        <w:pStyle w:val="SourceCode"/>
      </w:pPr>
      <w:r>
        <w:rPr>
          <w:rStyle w:val="VerbatimChar"/>
        </w:rPr>
        <w:t xml:space="preserve">                     HISN</w:t>
      </w:r>
      <w:r>
        <w:br/>
      </w:r>
      <w:r>
        <w:rPr>
          <w:rStyle w:val="VerbatimChar"/>
        </w:rPr>
        <w:t xml:space="preserve">        Financial Crime Decision OS</w:t>
      </w:r>
      <w:r>
        <w:br/>
      </w:r>
      <w:r>
        <w:rPr>
          <w:rStyle w:val="VerbatimChar"/>
        </w:rPr>
        <w:t xml:space="preserve">                       │</w:t>
      </w:r>
      <w:r>
        <w:br/>
      </w:r>
      <w:r>
        <w:rPr>
          <w:rStyle w:val="VerbatimChar"/>
        </w:rPr>
        <w:t xml:space="preserve">       ┌───────────────┼───────────────┐</w:t>
      </w:r>
      <w:r>
        <w:br/>
      </w:r>
      <w:r>
        <w:rPr>
          <w:rStyle w:val="VerbatimChar"/>
        </w:rPr>
        <w:t xml:space="preserve">       │               │               │</w:t>
      </w:r>
      <w:r>
        <w:br/>
      </w:r>
      <w:r>
        <w:rPr>
          <w:rStyle w:val="VerbatimChar"/>
        </w:rPr>
        <w:t xml:space="preserve">    TENANTS      EXTERNAL          REGULATORS</w:t>
      </w:r>
      <w:r>
        <w:br/>
      </w:r>
      <w:r>
        <w:rPr>
          <w:rStyle w:val="VerbatimChar"/>
        </w:rPr>
        <w:t xml:space="preserve">                  PROVIDERS</w:t>
      </w:r>
      <w:r>
        <w:br/>
      </w:r>
      <w:r>
        <w:rPr>
          <w:rStyle w:val="VerbatimChar"/>
        </w:rPr>
        <w:t xml:space="preserve">       │               │               │</w:t>
      </w:r>
      <w:r>
        <w:br/>
      </w:r>
      <w:r>
        <w:rPr>
          <w:rStyle w:val="VerbatimChar"/>
        </w:rPr>
        <w:t xml:space="preserve">       └───────────────┼───────────────┘</w:t>
      </w:r>
      <w:r>
        <w:br/>
      </w:r>
      <w:r>
        <w:rPr>
          <w:rStyle w:val="VerbatimChar"/>
        </w:rPr>
        <w:t xml:space="preserve">                       │</w:t>
      </w:r>
      <w:r>
        <w:br/>
      </w:r>
      <w:r>
        <w:rPr>
          <w:rStyle w:val="VerbatimChar"/>
        </w:rPr>
        <w:t xml:space="preserve">              TENANT / SECURITY</w:t>
      </w:r>
      <w:r>
        <w:br/>
      </w:r>
      <w:r>
        <w:rPr>
          <w:rStyle w:val="VerbatimChar"/>
        </w:rPr>
        <w:t xml:space="preserve">                       │</w:t>
      </w:r>
      <w:r>
        <w:br/>
      </w:r>
      <w:r>
        <w:rPr>
          <w:rStyle w:val="VerbatimChar"/>
        </w:rPr>
        <w:t xml:space="preserve">                      API</w:t>
      </w:r>
      <w:r>
        <w:br/>
      </w:r>
      <w:r>
        <w:rPr>
          <w:rStyle w:val="VerbatimChar"/>
        </w:rPr>
        <w:t xml:space="preserve">                       │</w:t>
      </w:r>
      <w:r>
        <w:br/>
      </w:r>
      <w:r>
        <w:rPr>
          <w:rStyle w:val="VerbatimChar"/>
        </w:rPr>
        <w:t xml:space="preserve">                  BOOTSTRAP</w:t>
      </w:r>
      <w:r>
        <w:br/>
      </w:r>
      <w:r>
        <w:rPr>
          <w:rStyle w:val="VerbatimChar"/>
        </w:rPr>
        <w:t xml:space="preserve">                       │</w:t>
      </w:r>
      <w:r>
        <w:br/>
      </w:r>
      <w:r>
        <w:rPr>
          <w:rStyle w:val="VerbatimChar"/>
        </w:rPr>
        <w:t xml:space="preserve">      ┌────────────────┼────────────────┐</w:t>
      </w:r>
      <w:r>
        <w:br/>
      </w:r>
      <w:r>
        <w:rPr>
          <w:rStyle w:val="VerbatimChar"/>
        </w:rPr>
        <w:t xml:space="preserve">      │                │                │</w:t>
      </w:r>
      <w:r>
        <w:br/>
      </w:r>
      <w:r>
        <w:rPr>
          <w:rStyle w:val="VerbatimChar"/>
        </w:rPr>
        <w:t xml:space="preserve">   ENGINES          DOMAINS          PLATFORM</w:t>
      </w:r>
      <w:r>
        <w:br/>
      </w:r>
      <w:r>
        <w:rPr>
          <w:rStyle w:val="VerbatimChar"/>
        </w:rPr>
        <w:t xml:space="preserve">      │                │                │</w:t>
      </w:r>
      <w:r>
        <w:br/>
      </w:r>
      <w:r>
        <w:rPr>
          <w:rStyle w:val="VerbatimChar"/>
        </w:rPr>
        <w:t xml:space="preserve">      └────────────────┼────────────────┘</w:t>
      </w:r>
      <w:r>
        <w:br/>
      </w:r>
      <w:r>
        <w:rPr>
          <w:rStyle w:val="VerbatimChar"/>
        </w:rPr>
        <w:t xml:space="preserve">                       │</w:t>
      </w:r>
      <w:r>
        <w:br/>
      </w:r>
      <w:r>
        <w:rPr>
          <w:rStyle w:val="VerbatimChar"/>
        </w:rPr>
        <w:t xml:space="preserve">                      CORE</w:t>
      </w:r>
      <w:r>
        <w:br/>
      </w:r>
      <w:r>
        <w:rPr>
          <w:rStyle w:val="VerbatimChar"/>
        </w:rPr>
        <w:t xml:space="preserve">                       │</w:t>
      </w:r>
      <w:r>
        <w:br/>
      </w:r>
      <w:r>
        <w:rPr>
          <w:rStyle w:val="VerbatimChar"/>
        </w:rPr>
        <w:t xml:space="preserve">                   DATA / RLS</w:t>
      </w:r>
    </w:p>
    <w:p>
      <w:pPr>
        <w:pStyle w:val="Heading3"/>
      </w:pPr>
      <w:bookmarkStart w:id="38" w:name="_5c39abd31f06853e7b405add1fdf5b84a8af02d"/>
      <w:r>
        <w:t xml:space="preserve">View 2 — Decision Operating Flow (the spine)</w:t>
      </w:r>
    </w:p>
    <w:p>
      <w:pPr>
        <w:pStyle w:val="SourceCode"/>
      </w:pPr>
      <w:r>
        <w:rPr>
          <w:rStyle w:val="VerbatimChar"/>
        </w:rPr>
        <w:t xml:space="preserve">INPUT → IDENTITY → SCREENING → DETECTION → GRAPH</w:t>
      </w:r>
      <w:r>
        <w:br/>
      </w:r>
      <w:r>
        <w:rPr>
          <w:rStyle w:val="VerbatimChar"/>
        </w:rPr>
        <w:t xml:space="preserve">     → RISK/POLICY → DECISION → EVIDENCE → DNA</w:t>
      </w:r>
      <w:r>
        <w:br/>
      </w:r>
      <w:r>
        <w:rPr>
          <w:rStyle w:val="VerbatimChar"/>
        </w:rPr>
        <w:t xml:space="preserve">     → AUDIT → CASE → EXECUTIVE</w:t>
      </w:r>
    </w:p>
    <w:p>
      <w:pPr>
        <w:pStyle w:val="Heading3"/>
      </w:pPr>
      <w:bookmarkStart w:id="39" w:name="_59d3bb596f71c2b2e18aa0575f30292f1e48d71"/>
      <w:r>
        <w:t xml:space="preserve">View 3 — Engineering Control Plane (the map)</w:t>
      </w:r>
    </w:p>
    <w:p>
      <w:pPr>
        <w:pStyle w:val="SourceCode"/>
      </w:pPr>
      <w:r>
        <w:rPr>
          <w:rStyle w:val="VerbatimChar"/>
        </w:rPr>
        <w:t xml:space="preserve">- Domain ownership (catalog.py)</w:t>
      </w:r>
      <w:r>
        <w:br/>
      </w:r>
      <w:r>
        <w:rPr>
          <w:rStyle w:val="VerbatimChar"/>
        </w:rPr>
        <w:t xml:space="preserve">- Topology (topology.json)</w:t>
      </w:r>
      <w:r>
        <w:br/>
      </w:r>
      <w:r>
        <w:rPr>
          <w:rStyle w:val="VerbatimChar"/>
        </w:rPr>
        <w:t xml:space="preserve">- Engine registry (explicit only)</w:t>
      </w:r>
      <w:r>
        <w:br/>
      </w:r>
      <w:r>
        <w:rPr>
          <w:rStyle w:val="VerbatimChar"/>
        </w:rPr>
        <w:t xml:space="preserve">- Contracts (per domain)</w:t>
      </w:r>
      <w:r>
        <w:br/>
      </w:r>
      <w:r>
        <w:rPr>
          <w:rStyle w:val="VerbatimChar"/>
        </w:rPr>
        <w:t xml:space="preserve">- Tenant isolation (RLS)</w:t>
      </w:r>
      <w:r>
        <w:br/>
      </w:r>
      <w:r>
        <w:rPr>
          <w:rStyle w:val="VerbatimChar"/>
        </w:rPr>
        <w:t xml:space="preserve">- Security baseline</w:t>
      </w:r>
      <w:r>
        <w:br/>
      </w:r>
      <w:r>
        <w:rPr>
          <w:rStyle w:val="VerbatimChar"/>
        </w:rPr>
        <w:t xml:space="preserve">- Compliance mapping (SAMA/NCA/PDPL)</w:t>
      </w:r>
      <w:r>
        <w:br/>
      </w:r>
      <w:r>
        <w:rPr>
          <w:rStyle w:val="VerbatimChar"/>
        </w:rPr>
        <w:t xml:space="preserve">- Legacy retirement (phases C → O)</w:t>
      </w:r>
      <w:r>
        <w:br/>
      </w:r>
      <w:r>
        <w:rPr>
          <w:rStyle w:val="VerbatimChar"/>
        </w:rPr>
        <w:t xml:space="preserve">- Governance (Bootstrap Mode)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0" w:name="_6c83c8c3459c59e36370c1f82048878dbc28683"/>
      <w:r>
        <w:t xml:space="preserve">§10 — Architectural Requirements</w:t>
      </w:r>
    </w:p>
    <w:p>
      <w:pPr>
        <w:pStyle w:val="SourceCode"/>
      </w:pPr>
      <w:r>
        <w:rPr>
          <w:rStyle w:val="VerbatimChar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VerbatimChar"/>
        </w:rPr>
        <w:t xml:space="preserve">│ ARCHITECTURAL REQUIREMENTS / STATE                                 │</w:t>
      </w:r>
      <w:r>
        <w:br/>
      </w:r>
      <w:r>
        <w:rPr>
          <w:rStyle w:val="VerbatimChar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ARCHITECTURE                                                       │</w:t>
      </w:r>
      <w:r>
        <w:br/>
      </w:r>
      <w:r>
        <w:rPr>
          <w:rStyle w:val="VerbatimChar"/>
        </w:rPr>
        <w:t xml:space="preserve">│  CURRENT: modular monolith composition                              │</w:t>
      </w:r>
      <w:r>
        <w:br/>
      </w:r>
      <w:r>
        <w:rPr>
          <w:rStyle w:val="VerbatimChar"/>
        </w:rPr>
        <w:t xml:space="preserve">│  TARGET: contract-first with no cross-domain imports               │</w:t>
      </w:r>
      <w:r>
        <w:br/>
      </w:r>
      <w:r>
        <w:rPr>
          <w:rStyle w:val="VerbatimChar"/>
        </w:rPr>
        <w:t xml:space="preserve">│  CURRENT: explicit composition root; dynamic discovery retired      │</w:t>
      </w:r>
      <w:r>
        <w:br/>
      </w:r>
      <w:r>
        <w:rPr>
          <w:rStyle w:val="VerbatimChar"/>
        </w:rPr>
        <w:t xml:space="preserve">│  TARGET: pre-designed microservices seams (7 extraction points)     │</w:t>
      </w:r>
      <w:r>
        <w:br/>
      </w:r>
      <w:r>
        <w:rPr>
          <w:rStyle w:val="VerbatimChar"/>
        </w:rPr>
        <w:t xml:space="preserve">│  TARGET: zero business logic outside canonical src/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MULTI-TENANCY                                                      │</w:t>
      </w:r>
      <w:r>
        <w:br/>
      </w:r>
      <w:r>
        <w:rPr>
          <w:rStyle w:val="VerbatimChar"/>
        </w:rPr>
        <w:t xml:space="preserve">│  CURRENT: tenant context + RLS policies/migrations exist            │</w:t>
      </w:r>
      <w:r>
        <w:br/>
      </w:r>
      <w:r>
        <w:rPr>
          <w:rStyle w:val="VerbatimChar"/>
        </w:rPr>
        <w:t xml:space="preserve">│  TARGET GATE: complete 8-layer isolation                            │</w:t>
      </w:r>
      <w:r>
        <w:br/>
      </w:r>
      <w:r>
        <w:rPr>
          <w:rStyle w:val="VerbatimChar"/>
        </w:rPr>
        <w:t xml:space="preserve">│  TARGET GATE: no query without active tenant context               │</w:t>
      </w:r>
      <w:r>
        <w:br/>
      </w:r>
      <w:r>
        <w:rPr>
          <w:rStyle w:val="VerbatimChar"/>
        </w:rPr>
        <w:t xml:space="preserve">│  TARGET: white-label config in tenants/ (not src/)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COMPLIANCE                                                         │</w:t>
      </w:r>
      <w:r>
        <w:br/>
      </w:r>
      <w:r>
        <w:rPr>
          <w:rStyle w:val="VerbatimChar"/>
        </w:rPr>
        <w:t xml:space="preserve">│  TARGET: SAMA control mapping (AML/CFT, retention, reporting)      │</w:t>
      </w:r>
      <w:r>
        <w:br/>
      </w:r>
      <w:r>
        <w:rPr>
          <w:rStyle w:val="VerbatimChar"/>
        </w:rPr>
        <w:t xml:space="preserve">│  TARGET: NCA ECC 2-2024 control mapping                             │</w:t>
      </w:r>
      <w:r>
        <w:br/>
      </w:r>
      <w:r>
        <w:rPr>
          <w:rStyle w:val="VerbatimChar"/>
        </w:rPr>
        <w:t xml:space="preserve">│  TARGET: SDAIA PDPL control mapping                                 │</w:t>
      </w:r>
      <w:r>
        <w:br/>
      </w:r>
      <w:r>
        <w:rPr>
          <w:rStyle w:val="VerbatimChar"/>
        </w:rPr>
        <w:t xml:space="preserve">│  CURRENT/TARGET: pinned execution context for replay                │</w:t>
      </w:r>
      <w:r>
        <w:br/>
      </w:r>
      <w:r>
        <w:rPr>
          <w:rStyle w:val="VerbatimChar"/>
        </w:rPr>
        <w:t xml:space="preserve">│  CURRENT/TARGET: audit integrity and hash-chain controls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SECURITY                                                           │</w:t>
      </w:r>
      <w:r>
        <w:br/>
      </w:r>
      <w:r>
        <w:rPr>
          <w:rStyle w:val="VerbatimChar"/>
        </w:rPr>
        <w:t xml:space="preserve">│  TARGET: zero trust baseline                                        │</w:t>
      </w:r>
      <w:r>
        <w:br/>
      </w:r>
      <w:r>
        <w:rPr>
          <w:rStyle w:val="VerbatimChar"/>
        </w:rPr>
        <w:t xml:space="preserve">│  TARGET: AES-256 at rest + TLS 1.3 in transit                      │</w:t>
      </w:r>
      <w:r>
        <w:br/>
      </w:r>
      <w:r>
        <w:rPr>
          <w:rStyle w:val="VerbatimChar"/>
        </w:rPr>
        <w:t xml:space="preserve">│  TARGET: enforced PII boundaries                                   │</w:t>
      </w:r>
      <w:r>
        <w:br/>
      </w:r>
      <w:r>
        <w:rPr>
          <w:rStyle w:val="VerbatimChar"/>
        </w:rPr>
        <w:t xml:space="preserve">│  CURRENT/TARGET: RBAC + ABAC policy-owned                           │</w:t>
      </w:r>
      <w:r>
        <w:br/>
      </w:r>
      <w:r>
        <w:rPr>
          <w:rStyle w:val="VerbatimChar"/>
        </w:rPr>
        <w:t xml:space="preserve">│  TARGET: SoD + 4-eyes at approval boundaries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OPERATIONS                                                         │</w:t>
      </w:r>
      <w:r>
        <w:br/>
      </w:r>
      <w:r>
        <w:rPr>
          <w:rStyle w:val="VerbatimChar"/>
        </w:rPr>
        <w:t xml:space="preserve">│  TARGET: auto-provisioning pipeline                                │</w:t>
      </w:r>
      <w:r>
        <w:br/>
      </w:r>
      <w:r>
        <w:rPr>
          <w:rStyle w:val="VerbatimChar"/>
        </w:rPr>
        <w:t xml:space="preserve">│  TARGET: direct API integration with banking systems                │</w:t>
      </w:r>
      <w:r>
        <w:br/>
      </w:r>
      <w:r>
        <w:rPr>
          <w:rStyle w:val="VerbatimChar"/>
        </w:rPr>
        <w:t xml:space="preserve">│  TARGET: banking / insurance / exchange / capital markets profiles  │</w:t>
      </w:r>
      <w:r>
        <w:br/>
      </w:r>
      <w:r>
        <w:rPr>
          <w:rStyle w:val="VerbatimChar"/>
        </w:rPr>
        <w:t xml:space="preserve">│  TARGET SLO: &lt; 15 minutes push → live tenant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│  GOVERNANCE                                                         │</w:t>
      </w:r>
      <w:r>
        <w:br/>
      </w:r>
      <w:r>
        <w:rPr>
          <w:rStyle w:val="VerbatimChar"/>
        </w:rPr>
        <w:t xml:space="preserve">│  ✅ Authority ceiling: regulation &gt; ADR &gt; security                  │</w:t>
      </w:r>
      <w:r>
        <w:br/>
      </w:r>
      <w:r>
        <w:rPr>
          <w:rStyle w:val="VerbatimChar"/>
        </w:rPr>
        <w:t xml:space="preserve">│                         &gt; governance &gt; inventory                    │</w:t>
      </w:r>
      <w:r>
        <w:br/>
      </w:r>
      <w:r>
        <w:rPr>
          <w:rStyle w:val="VerbatimChar"/>
        </w:rPr>
        <w:t xml:space="preserve">│  ✅ Bootstrap Mode documented                                       │</w:t>
      </w:r>
      <w:r>
        <w:br/>
      </w:r>
      <w:r>
        <w:rPr>
          <w:rStyle w:val="VerbatimChar"/>
        </w:rPr>
        <w:t xml:space="preserve">│  ✅ Retrospective review on seat appointments                       │</w:t>
      </w:r>
      <w:r>
        <w:br/>
      </w:r>
      <w:r>
        <w:rPr>
          <w:rStyle w:val="VerbatimChar"/>
        </w:rPr>
        <w:t xml:space="preserve">│                                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1" w:name="_decision"/>
      <w:r>
        <w:t xml:space="preserve">§11 — Decision</w:t>
      </w:r>
    </w:p>
    <w:p>
      <w:pPr>
        <w:pStyle w:val="FirstParagraph"/>
      </w:pPr>
      <w:r>
        <w:t xml:space="preserve">```</w:t>
      </w:r>
      <w:r>
        <w:t xml:space="preserve"> </w:t>
      </w:r>
      <w:r>
        <w:t xml:space="preserve">┌─────────────────────────────────────────────────────────────────────┐</w:t>
      </w:r>
      <w:r>
        <w:t xml:space="preserve"> </w:t>
      </w:r>
      <w:r>
        <w:t xml:space="preserve">│ │</w:t>
      </w:r>
      <w:r>
        <w:t xml:space="preserve"> </w:t>
      </w:r>
      <w:r>
        <w:t xml:space="preserve">│ هذه هي HISN Ideal City كاملة: │</w:t>
      </w:r>
      <w:r>
        <w:t xml:space="preserve"> </w:t>
      </w:r>
      <w:r>
        <w:t xml:space="preserve">│ │</w:t>
      </w:r>
      <w:r>
        <w:t xml:space="preserve"> </w:t>
      </w:r>
      <w:r>
        <w:t xml:space="preserve">│ • The Spine (Decision Operating Flow) │</w:t>
      </w:r>
      <w:r>
        <w:t xml:space="preserve"> </w:t>
      </w:r>
      <w:r>
        <w:t xml:space="preserve">│ • Everything mounted on the spine │</w:t>
      </w:r>
      <w:r>
        <w:t xml:space="preserve"> </w:t>
      </w:r>
      <w:r>
        <w:t xml:space="preserve">│ • Contract-first across all boundaries │</w:t>
      </w:r>
      <w:r>
        <w:t xml:space="preserve"> </w:t>
      </w:r>
      <w:r>
        <w:t xml:space="preserve">│ • Multi-tenant + white-label designed from start │</w:t>
      </w:r>
      <w:r>
        <w:t xml:space="preserve"> </w:t>
      </w:r>
      <w:r>
        <w:t xml:space="preserve">│ • Banking / Insurance / Exchange / Capital Markets adaptable │</w:t>
      </w:r>
      <w:r>
        <w:t xml:space="preserve"> </w:t>
      </w:r>
      <w:r>
        <w:t xml:space="preserve">│ • Auto-provisioning pipeline │</w:t>
      </w:r>
      <w:r>
        <w:t xml:space="preserve"> </w:t>
      </w:r>
      <w:r>
        <w:t xml:space="preserve">│ • Direct API integration (zero logic outside core) 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2" w:name="_7a5663cd338a0b69ecdfab47a5eda37656e6f35"/>
      <w:r>
        <w:t xml:space="preserve">Runtime Truth Gate</w:t>
      </w:r>
    </w:p>
    <w:p>
      <w:pPr>
        <w:pStyle w:val="FirstParagraph"/>
      </w:pPr>
      <w:r>
        <w:t xml:space="preserve">This blueprint is the target architecture. It does not make a capability LIVE merely because a namespace, class, or document exists.</w:t>
      </w:r>
    </w:p>
    <w:p>
      <w:pPr>
        <w:pStyle w:val="BodyText"/>
      </w:pPr>
      <w:r>
        <w:t xml:space="preserve">At the observed code baseline, the composition root explicitly activates exactly six DecisionEngines:</w:t>
      </w:r>
    </w:p>
    <w:p>
      <w:pPr>
        <w:pStyle w:val="Compact"/>
        <w:numPr>
          <w:ilvl w:val="0"/>
          <w:numId w:val="1001"/>
        </w:numPr>
      </w:pPr>
      <w:r>
        <w:t xml:space="preserve">AML</w:t>
      </w:r>
    </w:p>
    <w:p>
      <w:pPr>
        <w:pStyle w:val="Compact"/>
        <w:numPr>
          <w:ilvl w:val="0"/>
          <w:numId w:val="1001"/>
        </w:numPr>
      </w:pPr>
      <w:r>
        <w:t xml:space="preserve">Fraud</w:t>
      </w:r>
    </w:p>
    <w:p>
      <w:pPr>
        <w:pStyle w:val="Compact"/>
        <w:numPr>
          <w:ilvl w:val="0"/>
          <w:numId w:val="1001"/>
        </w:numPr>
      </w:pPr>
      <w:r>
        <w:t xml:space="preserve">Graph</w:t>
      </w:r>
    </w:p>
    <w:p>
      <w:pPr>
        <w:pStyle w:val="Compact"/>
        <w:numPr>
          <w:ilvl w:val="0"/>
          <w:numId w:val="1001"/>
        </w:numPr>
      </w:pPr>
      <w:r>
        <w:t xml:space="preserve">KYB</w:t>
      </w:r>
    </w:p>
    <w:p>
      <w:pPr>
        <w:pStyle w:val="Compact"/>
        <w:numPr>
          <w:ilvl w:val="0"/>
          <w:numId w:val="1001"/>
        </w:numPr>
      </w:pPr>
      <w:r>
        <w:t xml:space="preserve">KYC</w:t>
      </w:r>
    </w:p>
    <w:p>
      <w:pPr>
        <w:pStyle w:val="Compact"/>
        <w:numPr>
          <w:ilvl w:val="0"/>
          <w:numId w:val="1001"/>
        </w:numPr>
      </w:pPr>
      <w:r>
        <w:t xml:space="preserve">Sanctions</w:t>
      </w:r>
    </w:p>
    <w:p>
      <w:pPr>
        <w:pStyle w:val="FirstParagraph"/>
      </w:pPr>
      <w:r>
        <w:t xml:space="preserve">Additional engine namespaces are classified as one of:</w:t>
      </w:r>
    </w:p>
    <w:p>
      <w:pPr>
        <w:pStyle w:val="Compact"/>
        <w:numPr>
          <w:ilvl w:val="0"/>
          <w:numId w:val="1002"/>
        </w:numPr>
      </w:pPr>
      <w:r>
        <w:t xml:space="preserve">SUPPORT / already consumed by the canonical runtime path;</w:t>
      </w:r>
    </w:p>
    <w:p>
      <w:pPr>
        <w:pStyle w:val="Compact"/>
        <w:numPr>
          <w:ilvl w:val="0"/>
          <w:numId w:val="1002"/>
        </w:numPr>
      </w:pPr>
      <w:r>
        <w:t xml:space="preserve">TARGET / contract-ready future activation;</w:t>
      </w:r>
    </w:p>
    <w:p>
      <w:pPr>
        <w:pStyle w:val="Compact"/>
        <w:numPr>
          <w:ilvl w:val="0"/>
          <w:numId w:val="1002"/>
        </w:numPr>
      </w:pPr>
      <w:r>
        <w:t xml:space="preserve">LEGACY / migration or retirement candidate;</w:t>
      </w:r>
    </w:p>
    <w:p>
      <w:pPr>
        <w:pStyle w:val="Compact"/>
        <w:numPr>
          <w:ilvl w:val="0"/>
          <w:numId w:val="1002"/>
        </w:numPr>
      </w:pPr>
      <w:r>
        <w:t xml:space="preserve">STUB / no executable implementation and therefore not runtime-eligible.</w:t>
      </w:r>
    </w:p>
    <w:p>
      <w:pPr>
        <w:pStyle w:val="FirstParagraph"/>
      </w:pPr>
      <w:r>
        <w:t xml:space="preserve">No stub or legacy surface may be registered merely to make the runtime count look complete.</w:t>
      </w:r>
    </w:p>
    <w:p>
      <w:pPr>
        <w:pStyle w:val="Heading2"/>
      </w:pPr>
      <w:bookmarkStart w:id="43" w:name="_94e4503d9e1c9c468578c896f6c7673e985a67c"/>
      <w:r>
        <w:t xml:space="preserve">Activation Rule</w:t>
      </w:r>
    </w:p>
    <w:p>
      <w:pPr>
        <w:pStyle w:val="FirstParagraph"/>
      </w:pPr>
      <w:r>
        <w:t xml:space="preserve">A capability becomes LIVE only when all of the following are true:</w:t>
      </w:r>
    </w:p>
    <w:p>
      <w:pPr>
        <w:pStyle w:val="Compact"/>
        <w:numPr>
          <w:ilvl w:val="0"/>
          <w:numId w:val="1003"/>
        </w:numPr>
      </w:pPr>
      <w:r>
        <w:t xml:space="preserve">It has a canonical owner.</w:t>
      </w:r>
    </w:p>
    <w:p>
      <w:pPr>
        <w:pStyle w:val="Compact"/>
        <w:numPr>
          <w:ilvl w:val="0"/>
          <w:numId w:val="1003"/>
        </w:numPr>
      </w:pPr>
      <w:r>
        <w:t xml:space="preserve">It implements the applicable runtime contract or canonical platform interface.</w:t>
      </w:r>
    </w:p>
    <w:p>
      <w:pPr>
        <w:pStyle w:val="Compact"/>
        <w:numPr>
          <w:ilvl w:val="0"/>
          <w:numId w:val="1003"/>
        </w:numPr>
      </w:pPr>
      <w:r>
        <w:t xml:space="preserve">Its dependencies are canonical and do not require a retired namespace.</w:t>
      </w:r>
    </w:p>
    <w:p>
      <w:pPr>
        <w:pStyle w:val="Compact"/>
        <w:numPr>
          <w:ilvl w:val="0"/>
          <w:numId w:val="1003"/>
        </w:numPr>
      </w:pPr>
      <w:r>
        <w:t xml:space="preserve">Its behavior is covered by executable tests.</w:t>
      </w:r>
    </w:p>
    <w:p>
      <w:pPr>
        <w:pStyle w:val="Compact"/>
        <w:numPr>
          <w:ilvl w:val="0"/>
          <w:numId w:val="1003"/>
        </w:numPr>
      </w:pPr>
      <w:r>
        <w:t xml:space="preserve">It is explicitly composed by the bootstrap/composition root.</w:t>
      </w:r>
    </w:p>
    <w:p>
      <w:pPr>
        <w:pStyle w:val="Compact"/>
        <w:numPr>
          <w:ilvl w:val="0"/>
          <w:numId w:val="1003"/>
        </w:numPr>
      </w:pPr>
      <w:r>
        <w:t xml:space="preserve">Its runtime identity and version are observable in the decision path where applicable.</w:t>
      </w:r>
    </w:p>
    <w:p>
      <w:pPr>
        <w:pStyle w:val="FirstParagraph"/>
      </w:pPr>
      <w:r>
        <w:t xml:space="preserve">Until then, the capability remains TARGET, SUPPORT, LEGACY, or STUB as documented.</w:t>
      </w:r>
    </w:p>
    <w:p>
      <w:pPr>
        <w:pStyle w:val="Heading2"/>
      </w:pPr>
      <w:bookmarkStart w:id="44" w:name="_6a6a022d9295f30ce998ae14aa497c7340bd7ab"/>
      <w:r>
        <w:t xml:space="preserve">Phase Execution Principle</w:t>
      </w:r>
    </w:p>
    <w:p>
      <w:pPr>
        <w:pStyle w:val="FirstParagraph"/>
      </w:pPr>
      <w:r>
        <w:t xml:space="preserve">The target is not</w:t>
      </w:r>
      <w:r>
        <w:t xml:space="preserve"> </w:t>
      </w:r>
      <w:r>
        <w:t xml:space="preserve">“activate every buried file.”</w:t>
      </w:r>
    </w:p>
    <w:p>
      <w:pPr>
        <w:pStyle w:val="BodyText"/>
      </w:pPr>
      <w:r>
        <w:t xml:space="preserve">The target is:</w:t>
      </w:r>
    </w:p>
    <w:p>
      <w:pPr>
        <w:pStyle w:val="BlockText"/>
      </w:pPr>
      <w:r>
        <w:t xml:space="preserve">recover every valid capability, eliminate competing implementation authority, and connect only verified capabilities to the canonical operating spine.</w:t>
      </w:r>
    </w:p>
    <w:p>
      <w:pPr>
        <w:pStyle w:val="FirstParagraph"/>
      </w:pPr>
      <w:r>
        <w:t xml:space="preserve">That rule prevents legacy code from being mistaken for production functionality.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Technology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TARGET ARCHITECTURE BLUEPRINT</dc:title>
  <dc:creator>HISN Platform</dc:creator>
  <cp:keywords>HISN, FCDOS, financial crime, decision operating system</cp:keywords>
  <dcterms:created xsi:type="dcterms:W3CDTF">2026-10-13T12:56:49Z</dcterms:created>
  <dcterms:modified xsi:type="dcterms:W3CDTF">2026-10-13T12:56:49Z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