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INCIDENT RESPONSE PLAN</w:t>
      </w:r>
    </w:p>
    <w:p>
      <w:pPr>
        <w:pStyle w:val="Heading2"/>
      </w:pPr>
      <w:bookmarkStart w:id="9" w:name="_team"/>
      <w:r>
        <w:t xml:space="preserve">1. Team</w:t>
      </w:r>
    </w:p>
    <w:p>
      <w:pPr>
        <w:pStyle w:val="FirstParagraph"/>
      </w:pPr>
      <w:r>
        <w:t xml:space="preserve">IR Lead, CISO, CTO, Legal, Comms</w:t>
      </w:r>
    </w:p>
    <w:p>
      <w:pPr>
        <w:pStyle w:val="Heading2"/>
      </w:pPr>
      <w:bookmarkStart w:id="10" w:name="_severity"/>
      <w:r>
        <w:t xml:space="preserve">2. Severity</w:t>
      </w:r>
    </w:p>
    <w:p>
      <w:pPr>
        <w:pStyle w:val="FirstParagraph"/>
      </w:pPr>
      <w:r>
        <w:t xml:space="preserve">SEV1-SEV4</w:t>
      </w:r>
    </w:p>
    <w:p>
      <w:pPr>
        <w:pStyle w:val="Heading2"/>
      </w:pPr>
      <w:bookmarkStart w:id="11" w:name="_phases"/>
      <w:r>
        <w:t xml:space="preserve">3. Phases</w:t>
      </w:r>
    </w:p>
    <w:p>
      <w:pPr>
        <w:pStyle w:val="FirstParagraph"/>
      </w:pPr>
      <w:r>
        <w:t xml:space="preserve">Detect → Contain → Eradicate → Recover → Lessons</w:t>
      </w:r>
    </w:p>
    <w:p>
      <w:pPr>
        <w:pStyle w:val="Heading2"/>
      </w:pPr>
      <w:bookmarkStart w:id="12" w:name="_comms"/>
      <w:r>
        <w:t xml:space="preserve">4. Comms</w:t>
      </w:r>
    </w:p>
    <w:p>
      <w:pPr>
        <w:pStyle w:val="FirstParagraph"/>
      </w:pPr>
      <w:r>
        <w:t xml:space="preserve">Internal: Slack | External: per legal</w:t>
      </w:r>
    </w:p>
    <w:p>
      <w:pPr>
        <w:pStyle w:val="Heading2"/>
      </w:pPr>
      <w:bookmarkStart w:id="13" w:name="_notification"/>
      <w:r>
        <w:t xml:space="preserve">5. Notification</w:t>
      </w:r>
    </w:p>
    <w:p>
      <w:pPr>
        <w:pStyle w:val="FirstParagraph"/>
      </w:pPr>
      <w:r>
        <w:t xml:space="preserve">PDPL: 72h to SDAIA | Customer: per SLA</w:t>
      </w:r>
    </w:p>
    <w:p>
      <w:pPr>
        <w:pStyle w:val="Heading2"/>
      </w:pPr>
      <w:bookmarkStart w:id="14" w:name="_evidence"/>
      <w:r>
        <w:t xml:space="preserve">6. Evidence</w:t>
      </w:r>
    </w:p>
    <w:p>
      <w:pPr>
        <w:pStyle w:val="FirstParagraph"/>
      </w:pPr>
      <w:r>
        <w:t xml:space="preserve">Forensic log retention</w:t>
      </w:r>
    </w:p>
    <w:p>
      <w:pPr>
        <w:pStyle w:val="Heading2"/>
      </w:pPr>
      <w:bookmarkStart w:id="15" w:name="_465baefb7a2f14c4204568fdda1ba86ed831ba4"/>
      <w:r>
        <w:t xml:space="preserve">7. Post-Mortem</w:t>
      </w:r>
    </w:p>
    <w:p>
      <w:pPr>
        <w:pStyle w:val="FirstParagraph"/>
      </w:pPr>
      <w:r>
        <w:t xml:space="preserve">Within 5 business days</w:t>
      </w:r>
    </w:p>
    <w:p>
      <w:pPr>
        <w:pStyle w:val="Heading2"/>
      </w:pPr>
      <w:bookmarkStart w:id="16" w:name="_drills"/>
      <w:r>
        <w:t xml:space="preserve">8. Drills</w:t>
      </w:r>
    </w:p>
    <w:p>
      <w:pPr>
        <w:pStyle w:val="FirstParagraph"/>
      </w:pPr>
      <w:r>
        <w:t xml:space="preserve">Semi-annual tabletop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 Plan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