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INTEGRATION GUIDE</w:t>
      </w:r>
    </w:p>
    <w:p>
      <w:pPr>
        <w:pStyle w:val="Heading2"/>
      </w:pPr>
      <w:bookmarkStart w:id="9" w:name="_prerequisites"/>
      <w:r>
        <w:t xml:space="preserve">1. Prerequisites</w:t>
      </w:r>
    </w:p>
    <w:p>
      <w:pPr>
        <w:pStyle w:val="FirstParagraph"/>
      </w:pPr>
      <w:r>
        <w:t xml:space="preserve">API key, tenant ID, network access</w:t>
      </w:r>
    </w:p>
    <w:p>
      <w:pPr>
        <w:pStyle w:val="Heading2"/>
      </w:pPr>
      <w:bookmarkStart w:id="10" w:name="_authentication"/>
      <w:r>
        <w:t xml:space="preserve">2. Authentication</w:t>
      </w:r>
    </w:p>
    <w:p>
      <w:pPr>
        <w:pStyle w:val="FirstParagraph"/>
      </w:pPr>
      <w:r>
        <w:t xml:space="preserve">Bearer token; refresh flow</w:t>
      </w:r>
    </w:p>
    <w:p>
      <w:pPr>
        <w:pStyle w:val="Heading2"/>
      </w:pPr>
      <w:bookmarkStart w:id="11" w:name="_4ed0051a47abf9016dc90fe62ccbd2c1de5734b"/>
      <w:r>
        <w:t xml:space="preserve">3. First Call</w:t>
      </w:r>
    </w:p>
    <w:p>
      <w:pPr>
        <w:pStyle w:val="FirstParagraph"/>
      </w:pPr>
      <w:r>
        <w:t xml:space="preserve">POST /api/evaluate with sample payload</w:t>
      </w:r>
    </w:p>
    <w:p>
      <w:pPr>
        <w:pStyle w:val="Heading2"/>
      </w:pPr>
      <w:bookmarkStart w:id="12" w:name="_idempotency"/>
      <w:r>
        <w:t xml:space="preserve">4. Idempotency</w:t>
      </w:r>
    </w:p>
    <w:p>
      <w:pPr>
        <w:pStyle w:val="FirstParagraph"/>
      </w:pPr>
      <w:r>
        <w:t xml:space="preserve">Use Idempotency-Key header</w:t>
      </w:r>
    </w:p>
    <w:p>
      <w:pPr>
        <w:pStyle w:val="Heading2"/>
      </w:pPr>
      <w:bookmarkStart w:id="13" w:name="_webhooks"/>
      <w:r>
        <w:t xml:space="preserve">5. Webhooks</w:t>
      </w:r>
    </w:p>
    <w:p>
      <w:pPr>
        <w:pStyle w:val="FirstParagraph"/>
      </w:pPr>
      <w:r>
        <w:t xml:space="preserve">Subscribe to decision.completed events</w:t>
      </w:r>
    </w:p>
    <w:p>
      <w:pPr>
        <w:pStyle w:val="Heading2"/>
      </w:pPr>
      <w:bookmarkStart w:id="14" w:name="_1554313a6aabe14352d211be929918b3fa0c334"/>
      <w:r>
        <w:t xml:space="preserve">6. Error Handling</w:t>
      </w:r>
    </w:p>
    <w:p>
      <w:pPr>
        <w:pStyle w:val="FirstParagraph"/>
      </w:pPr>
      <w:r>
        <w:t xml:space="preserve">Retry 5xx; fail on 4xx</w:t>
      </w:r>
    </w:p>
    <w:p>
      <w:pPr>
        <w:pStyle w:val="Heading2"/>
      </w:pPr>
      <w:bookmarkStart w:id="15" w:name="_c3ae304c2f43464d434894e505847ceab69aada"/>
      <w:r>
        <w:t xml:space="preserve">7. Rate Limits</w:t>
      </w:r>
    </w:p>
    <w:p>
      <w:pPr>
        <w:pStyle w:val="FirstParagraph"/>
      </w:pPr>
      <w:r>
        <w:t xml:space="preserve">Respect Retry-After header</w:t>
      </w:r>
    </w:p>
    <w:p>
      <w:pPr>
        <w:pStyle w:val="Heading2"/>
      </w:pPr>
      <w:bookmarkStart w:id="16" w:name="_testing"/>
      <w:r>
        <w:t xml:space="preserve">8. Testing</w:t>
      </w:r>
    </w:p>
    <w:p>
      <w:pPr>
        <w:pStyle w:val="FirstParagraph"/>
      </w:pPr>
      <w:r>
        <w:t xml:space="preserve">Sandbox environment provided</w:t>
      </w:r>
    </w:p>
    <w:p>
      <w:pPr>
        <w:pStyle w:val="Heading2"/>
      </w:pPr>
      <w:bookmarkStart w:id="17" w:name="_0cc7984a64f6107e1eea8b339f0877a990be694"/>
      <w:r>
        <w:t xml:space="preserve">9. Go-Live</w:t>
      </w:r>
    </w:p>
    <w:p>
      <w:pPr>
        <w:pStyle w:val="FirstParagraph"/>
      </w:pPr>
      <w:r>
        <w:t xml:space="preserve">Production keys; monitoring</w:t>
      </w:r>
      <w:r>
        <w:t xml:space="preserve"> </w:t>
      </w:r>
      <w:r>
        <w:t xml:space="preserve">## 10. Support</w:t>
      </w:r>
      <w:r>
        <w:t xml:space="preserve"> </w:t>
      </w:r>
      <w:r>
        <w:t xml:space="preserve">support@hisn.sa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Product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Integration Guide</dc:title>
  <dc:creator>HISN Platform</dc:creator>
  <cp:keywords>HISN, FCDOS, financial crime, decision operating system</cp:keywords>
  <dcterms:created xsi:type="dcterms:W3CDTF">2026-10-14T06:28:30Z</dcterms:created>
  <dcterms:modified xsi:type="dcterms:W3CDTF">2026-10-14T06:28:30Z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