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PRODUCT ROADMAP</w:t>
      </w:r>
    </w:p>
    <w:p>
      <w:pPr>
        <w:pStyle w:val="Heading2"/>
      </w:pPr>
      <w:bookmarkStart w:id="9" w:name="_264bceb28ee542903c14d2ac5ba92d3c03fc9ef"/>
      <w:r>
        <w:t xml:space="preserve">Q1 — Foundation</w:t>
      </w:r>
    </w:p>
    <w:p>
      <w:pPr>
        <w:pStyle w:val="Compact"/>
        <w:numPr>
          <w:ilvl w:val="0"/>
          <w:numId w:val="1001"/>
        </w:numPr>
      </w:pPr>
      <w:r>
        <w:t xml:space="preserve">M2 Resilience (backup/DR)</w:t>
      </w:r>
    </w:p>
    <w:p>
      <w:pPr>
        <w:pStyle w:val="Compact"/>
        <w:numPr>
          <w:ilvl w:val="0"/>
          <w:numId w:val="1001"/>
        </w:numPr>
      </w:pPr>
      <w:r>
        <w:t xml:space="preserve">Observability</w:t>
      </w:r>
    </w:p>
    <w:p>
      <w:pPr>
        <w:pStyle w:val="Compact"/>
        <w:numPr>
          <w:ilvl w:val="0"/>
          <w:numId w:val="1001"/>
        </w:numPr>
      </w:pPr>
      <w:r>
        <w:t xml:space="preserve">Independent PenTest</w:t>
      </w:r>
    </w:p>
    <w:p>
      <w:pPr>
        <w:pStyle w:val="Heading2"/>
      </w:pPr>
      <w:bookmarkStart w:id="10" w:name="_5eabe6e689f6cab48c68151664c7179c00a8327"/>
      <w:r>
        <w:t xml:space="preserve">Q2 — Enterprise</w:t>
      </w:r>
    </w:p>
    <w:p>
      <w:pPr>
        <w:pStyle w:val="Compact"/>
        <w:numPr>
          <w:ilvl w:val="0"/>
          <w:numId w:val="1002"/>
        </w:numPr>
      </w:pPr>
      <w:r>
        <w:t xml:space="preserve">M3 Identity + Screening activation</w:t>
      </w:r>
    </w:p>
    <w:p>
      <w:pPr>
        <w:pStyle w:val="Compact"/>
        <w:numPr>
          <w:ilvl w:val="0"/>
          <w:numId w:val="1002"/>
        </w:numPr>
      </w:pPr>
      <w:r>
        <w:t xml:space="preserve">Browser E2E authenticated</w:t>
      </w:r>
    </w:p>
    <w:p>
      <w:pPr>
        <w:pStyle w:val="Compact"/>
        <w:numPr>
          <w:ilvl w:val="0"/>
          <w:numId w:val="1002"/>
        </w:numPr>
      </w:pPr>
      <w:r>
        <w:t xml:space="preserve">SIEM integration</w:t>
      </w:r>
    </w:p>
    <w:p>
      <w:pPr>
        <w:pStyle w:val="Heading2"/>
      </w:pPr>
      <w:bookmarkStart w:id="11" w:name="_9936fe4f904257768035d81af503aa6a20233fa"/>
      <w:r>
        <w:t xml:space="preserve">Q3 — Commercial</w:t>
      </w:r>
    </w:p>
    <w:p>
      <w:pPr>
        <w:pStyle w:val="Compact"/>
        <w:numPr>
          <w:ilvl w:val="0"/>
          <w:numId w:val="1003"/>
        </w:numPr>
      </w:pPr>
      <w:r>
        <w:t xml:space="preserve">Bank POC completion</w:t>
      </w:r>
    </w:p>
    <w:p>
      <w:pPr>
        <w:pStyle w:val="Compact"/>
        <w:numPr>
          <w:ilvl w:val="0"/>
          <w:numId w:val="1003"/>
        </w:numPr>
      </w:pPr>
      <w:r>
        <w:t xml:space="preserve">Reference customer</w:t>
      </w:r>
    </w:p>
    <w:p>
      <w:pPr>
        <w:pStyle w:val="Compact"/>
        <w:numPr>
          <w:ilvl w:val="0"/>
          <w:numId w:val="1003"/>
        </w:numPr>
      </w:pPr>
      <w:r>
        <w:t xml:space="preserve">Series A readiness</w:t>
      </w:r>
    </w:p>
    <w:p>
      <w:pPr>
        <w:pStyle w:val="Heading2"/>
      </w:pPr>
      <w:bookmarkStart w:id="12" w:name="_d9e28854a63eb188c6993040d45c5d59c63705f"/>
      <w:r>
        <w:t xml:space="preserve">Q4 — Scale</w:t>
      </w:r>
    </w:p>
    <w:p>
      <w:pPr>
        <w:pStyle w:val="Compact"/>
        <w:numPr>
          <w:ilvl w:val="0"/>
          <w:numId w:val="1004"/>
        </w:numPr>
      </w:pPr>
      <w:r>
        <w:t xml:space="preserve">Multi-region</w:t>
      </w:r>
    </w:p>
    <w:p>
      <w:pPr>
        <w:pStyle w:val="Compact"/>
        <w:numPr>
          <w:ilvl w:val="0"/>
          <w:numId w:val="1004"/>
        </w:numPr>
      </w:pPr>
      <w:r>
        <w:t xml:space="preserve">Partner integrations</w:t>
      </w:r>
    </w:p>
    <w:p>
      <w:pPr>
        <w:pStyle w:val="Compact"/>
        <w:numPr>
          <w:ilvl w:val="0"/>
          <w:numId w:val="1004"/>
        </w:numPr>
      </w:pPr>
      <w:r>
        <w:t xml:space="preserve">Advanced modules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Roadmap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