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7721185a9c16036245c5495bd0d9fa662453cee"/>
      <w:r>
        <w:t xml:space="preserve">HISN Runtime Enforcement — P0</w:t>
      </w:r>
    </w:p>
    <w:p>
      <w:pPr>
        <w:pStyle w:val="Heading2"/>
      </w:pPr>
      <w:bookmarkStart w:id="10" w:name="_status"/>
      <w:r>
        <w:t xml:space="preserve">Status</w:t>
      </w:r>
    </w:p>
    <w:p>
      <w:pPr>
        <w:pStyle w:val="FirstParagraph"/>
      </w:pPr>
      <w:r>
        <w:t xml:space="preserve">Canonical implementation baseline for runtime architecture enforcement.</w:t>
      </w:r>
    </w:p>
    <w:p>
      <w:pPr>
        <w:pStyle w:val="Heading2"/>
      </w:pPr>
      <w:bookmarkStart w:id="11" w:name="_3978ba123c86c5013538c58d8e7c7a3723c6dcf"/>
      <w:r>
        <w:t xml:space="preserve">Enforcement chain</w:t>
      </w:r>
    </w:p>
    <w:p>
      <w:pPr>
        <w:pStyle w:val="SourceCode"/>
      </w:pPr>
      <w:r>
        <w:rPr>
          <w:rStyle w:val="VerbatimChar"/>
        </w:rPr>
        <w:t xml:space="preserve">JWT identity</w:t>
      </w:r>
      <w:r>
        <w:br/>
      </w:r>
      <w:r>
        <w:rPr>
          <w:rStyle w:val="VerbatimChar"/>
        </w:rPr>
        <w:t xml:space="preserve">  -&gt; tenant-bound Principal</w:t>
      </w:r>
      <w:r>
        <w:br/>
      </w:r>
      <w:r>
        <w:rPr>
          <w:rStyle w:val="VerbatimChar"/>
        </w:rPr>
        <w:t xml:space="preserve">  -&gt; authorization SSOT</w:t>
      </w:r>
      <w:r>
        <w:br/>
      </w:r>
      <w:r>
        <w:rPr>
          <w:rStyle w:val="VerbatimChar"/>
        </w:rPr>
        <w:t xml:space="preserve">  -&gt; tenant/domain/action/resource decision</w:t>
      </w:r>
      <w:r>
        <w:br/>
      </w:r>
      <w:r>
        <w:rPr>
          <w:rStyle w:val="VerbatimChar"/>
        </w:rPr>
        <w:t xml:space="preserve">  -&gt; database tenant context</w:t>
      </w:r>
      <w:r>
        <w:br/>
      </w:r>
      <w:r>
        <w:rPr>
          <w:rStyle w:val="VerbatimChar"/>
        </w:rPr>
        <w:t xml:space="preserve">  -&gt; canonical Decision Runtime</w:t>
      </w:r>
    </w:p>
    <w:p>
      <w:pPr>
        <w:pStyle w:val="Heading2"/>
      </w:pPr>
      <w:bookmarkStart w:id="12" w:name="_51740a3d6c9a4420e37a8f234e117ea23fcfd44"/>
      <w:r>
        <w:t xml:space="preserve">Canonical sources of truth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config/architecture/domains.yaml</w:t>
      </w:r>
      <w:r>
        <w:t xml:space="preserve"> </w:t>
      </w:r>
      <w:r>
        <w:t xml:space="preserve">— domain ownership, dependencies, sensitivity, and platform security invariants.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config/architecture/authorization.yaml</w:t>
      </w:r>
      <w:r>
        <w:t xml:space="preserve"> </w:t>
      </w:r>
      <w:r>
        <w:t xml:space="preserve">— roles, permissions, default-deny behavior, and separation-of-duties constraints.</w:t>
      </w:r>
    </w:p>
    <w:p>
      <w:pPr>
        <w:pStyle w:val="FirstParagraph"/>
      </w:pPr>
      <w:r>
        <w:t xml:space="preserve">Runtime code must read these sources rather than maintaining a second hard-coded permission registry.</w:t>
      </w:r>
    </w:p>
    <w:p>
      <w:pPr>
        <w:pStyle w:val="Heading2"/>
      </w:pPr>
      <w:bookmarkStart w:id="13" w:name="_3e4715b6290307a744561ec11ded48eb852c447"/>
      <w:r>
        <w:t xml:space="preserve">P0 controls now enforced</w:t>
      </w:r>
    </w:p>
    <w:p>
      <w:pPr>
        <w:pStyle w:val="Compact"/>
        <w:numPr>
          <w:ilvl w:val="0"/>
          <w:numId w:val="1002"/>
        </w:numPr>
      </w:pPr>
      <w:r>
        <w:t xml:space="preserve">JWTs issued by the authentication API carry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role</w:t>
      </w:r>
      <w:r>
        <w:t xml:space="preserve"> </w:t>
      </w:r>
      <w:r>
        <w:t xml:space="preserve">claims.</w:t>
      </w:r>
    </w:p>
    <w:p>
      <w:pPr>
        <w:pStyle w:val="Compact"/>
        <w:numPr>
          <w:ilvl w:val="0"/>
          <w:numId w:val="1002"/>
        </w:numPr>
      </w:pPr>
      <w:r>
        <w:t xml:space="preserve">High-value decision execution requires a valid tenant-bound principal.</w:t>
      </w:r>
    </w:p>
    <w:p>
      <w:pPr>
        <w:pStyle w:val="Compact"/>
        <w:numPr>
          <w:ilvl w:val="0"/>
          <w:numId w:val="1002"/>
        </w:numPr>
      </w:pPr>
      <w:r>
        <w:t xml:space="preserve">Authorization defaults to deny.</w:t>
      </w:r>
    </w:p>
    <w:p>
      <w:pPr>
        <w:pStyle w:val="Compact"/>
        <w:numPr>
          <w:ilvl w:val="0"/>
          <w:numId w:val="1002"/>
        </w:numPr>
      </w:pPr>
      <w:r>
        <w:t xml:space="preserve">Cross-tenant action attempts are rejected before the Decision Runtime executes.</w:t>
      </w:r>
    </w:p>
    <w:p>
      <w:pPr>
        <w:pStyle w:val="Compact"/>
        <w:numPr>
          <w:ilvl w:val="0"/>
          <w:numId w:val="1002"/>
        </w:numPr>
      </w:pPr>
      <w:r>
        <w:t xml:space="preserve">The requested domain must exist in the canonical domain SSOT.</w:t>
      </w:r>
    </w:p>
    <w:p>
      <w:pPr>
        <w:pStyle w:val="Compact"/>
        <w:numPr>
          <w:ilvl w:val="0"/>
          <w:numId w:val="1002"/>
        </w:numPr>
      </w:pPr>
      <w:r>
        <w:t xml:space="preserve">The principal role must have an explicit permission in the authorization SSOT.</w:t>
      </w:r>
    </w:p>
    <w:p>
      <w:pPr>
        <w:pStyle w:val="Compact"/>
        <w:numPr>
          <w:ilvl w:val="0"/>
          <w:numId w:val="1002"/>
        </w:numPr>
      </w:pPr>
      <w:r>
        <w:t xml:space="preserve">When PostgreSQL RLS is available, the authenticated tenant is bound to the current DB transaction before runtime access.</w:t>
      </w:r>
    </w:p>
    <w:p>
      <w:pPr>
        <w:pStyle w:val="Heading2"/>
      </w:pPr>
      <w:bookmarkStart w:id="14" w:name="_ed82bbc40c21fa816466d048d075704e6be3ad3"/>
      <w:r>
        <w:t xml:space="preserve">Control-plane separation</w:t>
      </w:r>
    </w:p>
    <w:p>
      <w:pPr>
        <w:pStyle w:val="FirstParagraph"/>
      </w:pPr>
      <w:r>
        <w:rPr>
          <w:rStyle w:val="VerbatimChar"/>
        </w:rPr>
        <w:t xml:space="preserve">hisn.users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hisn.tenants</w:t>
      </w:r>
      <w:r>
        <w:t xml:space="preserve"> </w:t>
      </w:r>
      <w:r>
        <w:t xml:space="preserve">are SaaS control-plane metadata. They are not treated as business-domain data by the generic tenant RLS sweep. Their access is protected by application authorization and administrative controls.</w:t>
      </w:r>
    </w:p>
    <w:p>
      <w:pPr>
        <w:pStyle w:val="Heading2"/>
      </w:pPr>
      <w:bookmarkStart w:id="15" w:name="_39b96abe289b65fdce91ff2562d5a30a564b864"/>
      <w:r>
        <w:t xml:space="preserve">Next enforcement phases</w:t>
      </w:r>
    </w:p>
    <w:p>
      <w:pPr>
        <w:pStyle w:val="Compact"/>
        <w:numPr>
          <w:ilvl w:val="0"/>
          <w:numId w:val="1003"/>
        </w:numPr>
      </w:pPr>
      <w:r>
        <w:t xml:space="preserve">Resource-level ABAC for highly restricted records.</w:t>
      </w:r>
    </w:p>
    <w:p>
      <w:pPr>
        <w:pStyle w:val="Compact"/>
        <w:numPr>
          <w:ilvl w:val="0"/>
          <w:numId w:val="1003"/>
        </w:numPr>
      </w:pPr>
      <w:r>
        <w:t xml:space="preserve">Server-side entitlements and plan enforcement.</w:t>
      </w:r>
    </w:p>
    <w:p>
      <w:pPr>
        <w:pStyle w:val="Compact"/>
        <w:numPr>
          <w:ilvl w:val="0"/>
          <w:numId w:val="1003"/>
        </w:numPr>
      </w:pPr>
      <w:r>
        <w:t xml:space="preserve">Privileged-access auditing and approval workflows.</w:t>
      </w:r>
    </w:p>
    <w:p>
      <w:pPr>
        <w:pStyle w:val="Compact"/>
        <w:numPr>
          <w:ilvl w:val="0"/>
          <w:numId w:val="1003"/>
        </w:numPr>
      </w:pPr>
      <w:r>
        <w:t xml:space="preserve">Tenant-scoped domain repositories as business tables become tenantized.</w:t>
      </w:r>
    </w:p>
    <w:p>
      <w:pPr>
        <w:pStyle w:val="Compact"/>
        <w:numPr>
          <w:ilvl w:val="0"/>
          <w:numId w:val="1003"/>
        </w:numPr>
      </w:pPr>
      <w:r>
        <w:t xml:space="preserve">P1 cryptographic controls: TLS verification, encryption at rest, secrets lifecycle, key rotation, and backup encryption.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ENFORCEMENT P0</dc:title>
  <dc:creator>HISN Platform</dc:creator>
  <cp:keywords>HISN, FCDOS, financial crime, decision operating system</cp:keywords>
  <dcterms:created xsi:type="dcterms:W3CDTF">2026-10-13T12:56:52Z</dcterms:created>
  <dcterms:modified xsi:type="dcterms:W3CDTF">2026-10-13T12:56:52Z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