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899273d279751c74e5b97387c4a3a7d324a4c9b"/>
      <w:r>
        <w:t xml:space="preserve">HISN Enterprise — Current Canonical Architecture</w:t>
      </w:r>
    </w:p>
    <w:p>
      <w:pPr>
        <w:pStyle w:val="FirstParagraph"/>
      </w:pPr>
      <w:r>
        <w:t xml:space="preserve">Status:</w:t>
      </w:r>
      <w:r>
        <w:t xml:space="preserve"> </w:t>
      </w:r>
      <w:r>
        <w:rPr>
          <w:b/>
          <w:bCs/>
        </w:rPr>
        <w:t xml:space="preserve">ACTIVE / SSOT</w:t>
      </w:r>
      <w:r>
        <w:t xml:space="preserve"> </w:t>
      </w:r>
      <w:r>
        <w:t xml:space="preserve">Current baseline:</w:t>
      </w:r>
      <w:r>
        <w:t xml:space="preserve"> </w:t>
      </w:r>
      <w:r>
        <w:rPr>
          <w:rStyle w:val="VerbatimChar"/>
        </w:rPr>
        <w:t xml:space="preserve">c6f72faf0c9c306c58fbcac6b4609f787fcb2c55</w:t>
      </w:r>
    </w:p>
    <w:p>
      <w:pPr>
        <w:pStyle w:val="Heading2"/>
      </w:pPr>
      <w:bookmarkStart w:id="10" w:name="_d522041aca32795a0979308f005852849e64505"/>
      <w:r>
        <w:t xml:space="preserve">1. Current topology</w:t>
      </w:r>
    </w:p>
    <w:p>
      <w:pPr>
        <w:pStyle w:val="SourceCode"/>
      </w:pPr>
      <w:r>
        <w:rPr>
          <w:rStyle w:val="VerbatimChar"/>
        </w:rPr>
        <w:t xml:space="preserve">                              HISN</w:t>
      </w:r>
      <w:r>
        <w:br/>
      </w:r>
      <w:r>
        <w:rPr>
          <w:rStyle w:val="VerbatimChar"/>
        </w:rPr>
        <w:t xml:space="preserve">                               |</w:t>
      </w:r>
      <w:r>
        <w:br/>
      </w:r>
      <w:r>
        <w:rPr>
          <w:rStyle w:val="VerbatimChar"/>
        </w:rPr>
        <w:t xml:space="preserve">                 +-------------+-------------+</w:t>
      </w:r>
      <w:r>
        <w:br/>
      </w:r>
      <w:r>
        <w:rPr>
          <w:rStyle w:val="VerbatimChar"/>
        </w:rPr>
        <w:t xml:space="preserve">                 |                           |</w:t>
      </w:r>
      <w:r>
        <w:br/>
      </w:r>
      <w:r>
        <w:rPr>
          <w:rStyle w:val="VerbatimChar"/>
        </w:rPr>
        <w:t xml:space="preserve">            CORE / CONTROL               DOMAINS</w:t>
      </w:r>
      <w:r>
        <w:br/>
      </w:r>
      <w:r>
        <w:rPr>
          <w:rStyle w:val="VerbatimChar"/>
        </w:rPr>
        <w:t xml:space="preserve">                 |                           |</w:t>
      </w:r>
      <w:r>
        <w:br/>
      </w:r>
      <w:r>
        <w:rPr>
          <w:rStyle w:val="VerbatimChar"/>
        </w:rPr>
        <w:t xml:space="preserve">     contracts · runtime · audit       KYC · KYB · AML</w:t>
      </w:r>
      <w:r>
        <w:br/>
      </w:r>
      <w:r>
        <w:rPr>
          <w:rStyle w:val="VerbatimChar"/>
        </w:rPr>
        <w:t xml:space="preserve">     identity · policy · registry      Fraud · PEP</w:t>
      </w:r>
      <w:r>
        <w:br/>
      </w:r>
      <w:r>
        <w:rPr>
          <w:rStyle w:val="VerbatimChar"/>
        </w:rPr>
        <w:t xml:space="preserve">                                       Sanctions · Decision</w:t>
      </w:r>
      <w:r>
        <w:br/>
      </w:r>
      <w:r>
        <w:rPr>
          <w:rStyle w:val="VerbatimChar"/>
        </w:rPr>
        <w:t xml:space="preserve">                                       Screening · Case</w:t>
      </w:r>
      <w:r>
        <w:br/>
      </w:r>
      <w:r>
        <w:rPr>
          <w:rStyle w:val="VerbatimChar"/>
        </w:rPr>
        <w:t xml:space="preserve">                 +-------------+-------------+</w:t>
      </w:r>
      <w:r>
        <w:br/>
      </w:r>
      <w:r>
        <w:rPr>
          <w:rStyle w:val="VerbatimChar"/>
        </w:rPr>
        <w:t xml:space="preserve">                               |</w:t>
      </w:r>
      <w:r>
        <w:br/>
      </w:r>
      <w:r>
        <w:rPr>
          <w:rStyle w:val="VerbatimChar"/>
        </w:rPr>
        <w:t xml:space="preserve">                    6 DECISION ENGINES</w:t>
      </w:r>
      <w:r>
        <w:br/>
      </w:r>
      <w:r>
        <w:rPr>
          <w:rStyle w:val="VerbatimChar"/>
        </w:rPr>
        <w:t xml:space="preserve">                               |</w:t>
      </w:r>
      <w:r>
        <w:br/>
      </w:r>
      <w:r>
        <w:rPr>
          <w:rStyle w:val="VerbatimChar"/>
        </w:rPr>
        <w:t xml:space="preserve">       AML · Fraud · Sanctions · KYC · KYB · Graph</w:t>
      </w:r>
      <w:r>
        <w:br/>
      </w:r>
      <w:r>
        <w:rPr>
          <w:rStyle w:val="VerbatimChar"/>
        </w:rPr>
        <w:t xml:space="preserve">                               |</w:t>
      </w:r>
      <w:r>
        <w:br/>
      </w:r>
      <w:r>
        <w:rPr>
          <w:rStyle w:val="VerbatimChar"/>
        </w:rPr>
        <w:t xml:space="preserve">                  20 ACTIVE CAPABILITIES</w:t>
      </w:r>
      <w:r>
        <w:br/>
      </w:r>
      <w:r>
        <w:rPr>
          <w:rStyle w:val="VerbatimChar"/>
        </w:rPr>
        <w:t xml:space="preserve">                               |</w:t>
      </w:r>
      <w:r>
        <w:br/>
      </w:r>
      <w:r>
        <w:rPr>
          <w:rStyle w:val="VerbatimChar"/>
        </w:rPr>
        <w:t xml:space="preserve">       +-----------------------+-----------------------+</w:t>
      </w:r>
      <w:r>
        <w:br/>
      </w:r>
      <w:r>
        <w:rPr>
          <w:rStyle w:val="VerbatimChar"/>
        </w:rPr>
        <w:t xml:space="preserve">       |                       |                       |</w:t>
      </w:r>
      <w:r>
        <w:br/>
      </w:r>
      <w:r>
        <w:rPr>
          <w:rStyle w:val="VerbatimChar"/>
        </w:rPr>
        <w:t xml:space="preserve"> Domain / Identity      Platform Intelligence   Control / Executive</w:t>
      </w:r>
      <w:r>
        <w:br/>
      </w:r>
      <w:r>
        <w:rPr>
          <w:rStyle w:val="VerbatimChar"/>
        </w:rPr>
        <w:t xml:space="preserve">       |                       |                       |</w:t>
      </w:r>
      <w:r>
        <w:br/>
      </w:r>
      <w:r>
        <w:rPr>
          <w:rStyle w:val="VerbatimChar"/>
        </w:rPr>
        <w:t xml:space="preserve"> Identity              Financial DNA             Advisor</w:t>
      </w:r>
      <w:r>
        <w:br/>
      </w:r>
      <w:r>
        <w:rPr>
          <w:rStyle w:val="VerbatimChar"/>
        </w:rPr>
        <w:t xml:space="preserve"> Identity Verification Customer 360              Executive Memory</w:t>
      </w:r>
      <w:r>
        <w:br/>
      </w:r>
      <w:r>
        <w:rPr>
          <w:rStyle w:val="VerbatimChar"/>
        </w:rPr>
        <w:t xml:space="preserve"> PEP                   Risk Navigator             Scheduler</w:t>
      </w:r>
      <w:r>
        <w:br/>
      </w:r>
      <w:r>
        <w:rPr>
          <w:rStyle w:val="VerbatimChar"/>
        </w:rPr>
        <w:t xml:space="preserve"> Entity Resolution     Behavioral Intelligence   Operational Readiness</w:t>
      </w:r>
      <w:r>
        <w:br/>
      </w:r>
      <w:r>
        <w:rPr>
          <w:rStyle w:val="VerbatimChar"/>
        </w:rPr>
        <w:t xml:space="preserve"> Sanctions              Explainability            Regulatory Reporting</w:t>
      </w:r>
      <w:r>
        <w:br/>
      </w:r>
      <w:r>
        <w:rPr>
          <w:rStyle w:val="VerbatimChar"/>
        </w:rPr>
        <w:t xml:space="preserve"> Decision DNA           Financial GPS              Evidence / Provenance</w:t>
      </w:r>
      <w:r>
        <w:br/>
      </w:r>
      <w:r>
        <w:rPr>
          <w:rStyle w:val="VerbatimChar"/>
        </w:rPr>
        <w:t xml:space="preserve"> Anomaly Detection</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API / Workspace</w:t>
      </w:r>
      <w:r>
        <w:br/>
      </w:r>
      <w:r>
        <w:rPr>
          <w:rStyle w:val="VerbatimChar"/>
        </w:rPr>
        <w:t xml:space="preserve">                               |</w:t>
      </w:r>
      <w:r>
        <w:br/>
      </w:r>
      <w:r>
        <w:rPr>
          <w:rStyle w:val="VerbatimChar"/>
        </w:rPr>
        <w:t xml:space="preserve">                         Presentation</w:t>
      </w:r>
    </w:p>
    <w:p>
      <w:pPr>
        <w:pStyle w:val="Heading2"/>
      </w:pPr>
      <w:bookmarkStart w:id="11" w:name="_a315cec08f45faceefc9ecdd50db46e581a3c90"/>
      <w:r>
        <w:t xml:space="preserve">2. DecisionEngine authority</w:t>
      </w:r>
    </w:p>
    <w:p>
      <w:pPr>
        <w:pStyle w:val="FirstParagraph"/>
      </w:pPr>
      <w:r>
        <w:t xml:space="preserve">The current composition root explicitly registers exactly six DecisionEngine implementations: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Engine</w:t>
            </w:r>
          </w:p>
        </w:tc>
        <w:tc>
          <w:tcPr/>
          <w:p>
            <w:pPr>
              <w:pStyle w:val="Compact"/>
            </w:pPr>
            <w:r>
              <w:t xml:space="preserve">Current authority</w:t>
            </w:r>
          </w:p>
        </w:tc>
      </w:tr>
      <w:tr>
        <w:tc>
          <w:tcPr/>
          <w:p>
            <w:pPr>
              <w:pStyle w:val="Compact"/>
            </w:pPr>
            <w:r>
              <w:t xml:space="preserve">AML</w:t>
            </w:r>
          </w:p>
        </w:tc>
        <w:tc>
          <w:tcPr/>
          <w:p>
            <w:pPr>
              <w:pStyle w:val="Compact"/>
            </w:pPr>
            <w:r>
              <w:t xml:space="preserve">DecisionEngine</w:t>
            </w:r>
          </w:p>
        </w:tc>
      </w:tr>
      <w:tr>
        <w:tc>
          <w:tcPr/>
          <w:p>
            <w:pPr>
              <w:pStyle w:val="Compact"/>
            </w:pPr>
            <w:r>
              <w:t xml:space="preserve">Fraud</w:t>
            </w:r>
          </w:p>
        </w:tc>
        <w:tc>
          <w:tcPr/>
          <w:p>
            <w:pPr>
              <w:pStyle w:val="Compact"/>
            </w:pPr>
            <w:r>
              <w:t xml:space="preserve">DecisionEngine</w:t>
            </w:r>
          </w:p>
        </w:tc>
      </w:tr>
      <w:tr>
        <w:tc>
          <w:tcPr/>
          <w:p>
            <w:pPr>
              <w:pStyle w:val="Compact"/>
            </w:pPr>
            <w:r>
              <w:t xml:space="preserve">Sanctions</w:t>
            </w:r>
          </w:p>
        </w:tc>
        <w:tc>
          <w:tcPr/>
          <w:p>
            <w:pPr>
              <w:pStyle w:val="Compact"/>
            </w:pPr>
            <w:r>
              <w:t xml:space="preserve">DecisionEngine</w:t>
            </w:r>
          </w:p>
        </w:tc>
      </w:tr>
      <w:tr>
        <w:tc>
          <w:tcPr/>
          <w:p>
            <w:pPr>
              <w:pStyle w:val="Compact"/>
            </w:pPr>
            <w:r>
              <w:t xml:space="preserve">KYC</w:t>
            </w:r>
          </w:p>
        </w:tc>
        <w:tc>
          <w:tcPr/>
          <w:p>
            <w:pPr>
              <w:pStyle w:val="Compact"/>
            </w:pPr>
            <w:r>
              <w:t xml:space="preserve">DecisionEngine</w:t>
            </w:r>
          </w:p>
        </w:tc>
      </w:tr>
      <w:tr>
        <w:tc>
          <w:tcPr/>
          <w:p>
            <w:pPr>
              <w:pStyle w:val="Compact"/>
            </w:pPr>
            <w:r>
              <w:t xml:space="preserve">KYB</w:t>
            </w:r>
          </w:p>
        </w:tc>
        <w:tc>
          <w:tcPr/>
          <w:p>
            <w:pPr>
              <w:pStyle w:val="Compact"/>
            </w:pPr>
            <w:r>
              <w:t xml:space="preserve">DecisionEngine</w:t>
            </w:r>
          </w:p>
        </w:tc>
      </w:tr>
      <w:tr>
        <w:tc>
          <w:tcPr/>
          <w:p>
            <w:pPr>
              <w:pStyle w:val="Compact"/>
            </w:pPr>
            <w:r>
              <w:t xml:space="preserve">Graph</w:t>
            </w:r>
          </w:p>
        </w:tc>
        <w:tc>
          <w:tcPr/>
          <w:p>
            <w:pPr>
              <w:pStyle w:val="Compact"/>
            </w:pPr>
            <w:r>
              <w:t xml:space="preserve">DecisionEngine</w:t>
            </w:r>
          </w:p>
        </w:tc>
      </w:tr>
    </w:tbl>
    <w:p>
      <w:pPr>
        <w:pStyle w:val="FirstParagraph"/>
      </w:pPr>
      <w:r>
        <w:t xml:space="preserve">Source of truth:</w:t>
      </w:r>
    </w:p>
    <w:p>
      <w:pPr>
        <w:pStyle w:val="BodyText"/>
      </w:pPr>
      <w:r>
        <w:rPr>
          <w:rStyle w:val="VerbatimChar"/>
        </w:rPr>
        <w:t xml:space="preserve">src/bootstrap/container.py</w:t>
      </w:r>
    </w:p>
    <w:p>
      <w:pPr>
        <w:pStyle w:val="BodyText"/>
      </w:pPr>
      <w:r>
        <w:t xml:space="preserve">The EngineRegistry is explicit-only. Dynamic filesystem discovery and manifest-driven engine discovery are not runtime authority.</w:t>
      </w:r>
    </w:p>
    <w:p>
      <w:pPr>
        <w:pStyle w:val="Heading2"/>
      </w:pPr>
      <w:bookmarkStart w:id="12" w:name="_5faa69edb57973e0e8b59cd44da6f92b335e839"/>
      <w:r>
        <w:t xml:space="preserve">3. Active capability authority</w:t>
      </w:r>
    </w:p>
    <w:p>
      <w:pPr>
        <w:pStyle w:val="FirstParagraph"/>
      </w:pPr>
      <w:r>
        <w:t xml:space="preserve">The canonical 20-capability registry is:</w:t>
      </w:r>
    </w:p>
    <w:p>
      <w:pPr>
        <w:pStyle w:val="BodyText"/>
      </w:pPr>
      <w:r>
        <w:rPr>
          <w:rStyle w:val="VerbatimChar"/>
        </w:rPr>
        <w:t xml:space="preserve">src/core/capabilities/activation.py</w:t>
      </w:r>
    </w:p>
    <w:p>
      <w:pPr>
        <w:pStyle w:val="BodyText"/>
      </w:pPr>
      <w:r>
        <w:t xml:space="preserve">All 20 are currently</w:t>
      </w:r>
      <w:r>
        <w:t xml:space="preserve"> </w:t>
      </w:r>
      <w:r>
        <w:rPr>
          <w:b/>
          <w:bCs/>
        </w:rPr>
        <w:t xml:space="preserve">ACTIVE at the architectural capability layer</w:t>
      </w:r>
      <w:r>
        <w:t xml:space="preserve">.</w:t>
      </w:r>
    </w:p>
    <w:p>
      <w:pPr>
        <w:pStyle w:val="BodyText"/>
      </w:pPr>
      <w:r>
        <w:t xml:space="preserve">ACTIVE capability does not imply that every external provider, production deployment control, or bank-grade assurance gate is already evidenced.</w:t>
      </w:r>
    </w:p>
    <w:p>
      <w:pPr>
        <w:pStyle w:val="Heading3"/>
      </w:pPr>
      <w:bookmarkStart w:id="13" w:name="_f84095179235c3d8dc6734587269bda9366cb7c"/>
      <w:r>
        <w:t xml:space="preserve">Identity / Trust</w:t>
      </w:r>
    </w:p>
    <w:p>
      <w:pPr>
        <w:pStyle w:val="Compact"/>
        <w:numPr>
          <w:ilvl w:val="0"/>
          <w:numId w:val="1001"/>
        </w:numPr>
      </w:pPr>
      <w:r>
        <w:t xml:space="preserve">Identity</w:t>
      </w:r>
    </w:p>
    <w:p>
      <w:pPr>
        <w:pStyle w:val="Compact"/>
        <w:numPr>
          <w:ilvl w:val="0"/>
          <w:numId w:val="1001"/>
        </w:numPr>
      </w:pPr>
      <w:r>
        <w:t xml:space="preserve">Identity Verification / Nafath</w:t>
      </w:r>
    </w:p>
    <w:p>
      <w:pPr>
        <w:pStyle w:val="Compact"/>
        <w:numPr>
          <w:ilvl w:val="0"/>
          <w:numId w:val="1001"/>
        </w:numPr>
      </w:pPr>
      <w:r>
        <w:t xml:space="preserve">Entity Resolution</w:t>
      </w:r>
    </w:p>
    <w:p>
      <w:pPr>
        <w:pStyle w:val="Heading3"/>
      </w:pPr>
      <w:bookmarkStart w:id="14" w:name="_eb3f61a8e7e1e4393db379498a3fbcec42e10c2"/>
      <w:r>
        <w:t xml:space="preserve">Screening / Financial Crime</w:t>
      </w:r>
    </w:p>
    <w:p>
      <w:pPr>
        <w:pStyle w:val="Compact"/>
        <w:numPr>
          <w:ilvl w:val="0"/>
          <w:numId w:val="1002"/>
        </w:numPr>
      </w:pPr>
      <w:r>
        <w:t xml:space="preserve">PEP</w:t>
      </w:r>
    </w:p>
    <w:p>
      <w:pPr>
        <w:pStyle w:val="Compact"/>
        <w:numPr>
          <w:ilvl w:val="0"/>
          <w:numId w:val="1002"/>
        </w:numPr>
      </w:pPr>
      <w:r>
        <w:t xml:space="preserve">Sanctions</w:t>
      </w:r>
    </w:p>
    <w:p>
      <w:pPr>
        <w:pStyle w:val="Compact"/>
        <w:numPr>
          <w:ilvl w:val="0"/>
          <w:numId w:val="1002"/>
        </w:numPr>
      </w:pPr>
      <w:r>
        <w:t xml:space="preserve">Anomaly Detection</w:t>
      </w:r>
    </w:p>
    <w:p>
      <w:pPr>
        <w:pStyle w:val="Compact"/>
        <w:numPr>
          <w:ilvl w:val="0"/>
          <w:numId w:val="1002"/>
        </w:numPr>
      </w:pPr>
      <w:r>
        <w:t xml:space="preserve">Rescreening</w:t>
      </w:r>
    </w:p>
    <w:p>
      <w:pPr>
        <w:pStyle w:val="Heading3"/>
      </w:pPr>
      <w:bookmarkStart w:id="15" w:name="_c6b1b46d2ffd8d3b5701d120fd2114119920a24"/>
      <w:r>
        <w:t xml:space="preserve">Decision / Intelligence</w:t>
      </w:r>
    </w:p>
    <w:p>
      <w:pPr>
        <w:pStyle w:val="Compact"/>
        <w:numPr>
          <w:ilvl w:val="0"/>
          <w:numId w:val="1003"/>
        </w:numPr>
      </w:pPr>
      <w:r>
        <w:t xml:space="preserve">Explainability</w:t>
      </w:r>
    </w:p>
    <w:p>
      <w:pPr>
        <w:pStyle w:val="Compact"/>
        <w:numPr>
          <w:ilvl w:val="0"/>
          <w:numId w:val="1003"/>
        </w:numPr>
      </w:pPr>
      <w:r>
        <w:t xml:space="preserve">Decision DNA</w:t>
      </w:r>
    </w:p>
    <w:p>
      <w:pPr>
        <w:pStyle w:val="Compact"/>
        <w:numPr>
          <w:ilvl w:val="0"/>
          <w:numId w:val="1003"/>
        </w:numPr>
      </w:pPr>
      <w:r>
        <w:t xml:space="preserve">Financial DNA</w:t>
      </w:r>
    </w:p>
    <w:p>
      <w:pPr>
        <w:pStyle w:val="Compact"/>
        <w:numPr>
          <w:ilvl w:val="0"/>
          <w:numId w:val="1003"/>
        </w:numPr>
      </w:pPr>
      <w:r>
        <w:t xml:space="preserve">Customer 360</w:t>
      </w:r>
    </w:p>
    <w:p>
      <w:pPr>
        <w:pStyle w:val="Compact"/>
        <w:numPr>
          <w:ilvl w:val="0"/>
          <w:numId w:val="1003"/>
        </w:numPr>
      </w:pPr>
      <w:r>
        <w:t xml:space="preserve">Risk Navigator</w:t>
      </w:r>
    </w:p>
    <w:p>
      <w:pPr>
        <w:pStyle w:val="Compact"/>
        <w:numPr>
          <w:ilvl w:val="0"/>
          <w:numId w:val="1003"/>
        </w:numPr>
      </w:pPr>
      <w:r>
        <w:t xml:space="preserve">Behavioral Intelligence</w:t>
      </w:r>
    </w:p>
    <w:p>
      <w:pPr>
        <w:pStyle w:val="Compact"/>
        <w:numPr>
          <w:ilvl w:val="0"/>
          <w:numId w:val="1003"/>
        </w:numPr>
      </w:pPr>
      <w:r>
        <w:t xml:space="preserve">Financial GPS</w:t>
      </w:r>
    </w:p>
    <w:p>
      <w:pPr>
        <w:pStyle w:val="Heading3"/>
      </w:pPr>
      <w:bookmarkStart w:id="16" w:name="_4f9389c284fb95aeae2028f5b8b87d9581ce17d"/>
      <w:r>
        <w:t xml:space="preserve">Executive / Institutional</w:t>
      </w:r>
    </w:p>
    <w:p>
      <w:pPr>
        <w:pStyle w:val="Compact"/>
        <w:numPr>
          <w:ilvl w:val="0"/>
          <w:numId w:val="1004"/>
        </w:numPr>
      </w:pPr>
      <w:r>
        <w:t xml:space="preserve">Advisor</w:t>
      </w:r>
    </w:p>
    <w:p>
      <w:pPr>
        <w:pStyle w:val="Compact"/>
        <w:numPr>
          <w:ilvl w:val="0"/>
          <w:numId w:val="1004"/>
        </w:numPr>
      </w:pPr>
      <w:r>
        <w:t xml:space="preserve">Executive Memory</w:t>
      </w:r>
    </w:p>
    <w:p>
      <w:pPr>
        <w:pStyle w:val="Heading3"/>
      </w:pPr>
      <w:bookmarkStart w:id="17" w:name="_05e884a1f0288421df32d8c054d88f692d87e1d"/>
      <w:r>
        <w:t xml:space="preserve">Regulatory / Operations</w:t>
      </w:r>
    </w:p>
    <w:p>
      <w:pPr>
        <w:pStyle w:val="Compact"/>
        <w:numPr>
          <w:ilvl w:val="0"/>
          <w:numId w:val="1005"/>
        </w:numPr>
      </w:pPr>
      <w:r>
        <w:t xml:space="preserve">Regulatory Reporting</w:t>
      </w:r>
    </w:p>
    <w:p>
      <w:pPr>
        <w:pStyle w:val="Compact"/>
        <w:numPr>
          <w:ilvl w:val="0"/>
          <w:numId w:val="1005"/>
        </w:numPr>
      </w:pPr>
      <w:r>
        <w:t xml:space="preserve">Scheduler</w:t>
      </w:r>
    </w:p>
    <w:p>
      <w:pPr>
        <w:pStyle w:val="Compact"/>
        <w:numPr>
          <w:ilvl w:val="0"/>
          <w:numId w:val="1005"/>
        </w:numPr>
      </w:pPr>
      <w:r>
        <w:t xml:space="preserve">Evidence / Provenance</w:t>
      </w:r>
    </w:p>
    <w:p>
      <w:pPr>
        <w:pStyle w:val="Compact"/>
        <w:numPr>
          <w:ilvl w:val="0"/>
          <w:numId w:val="1005"/>
        </w:numPr>
      </w:pPr>
      <w:r>
        <w:t xml:space="preserve">Operational Readiness</w:t>
      </w:r>
    </w:p>
    <w:p>
      <w:pPr>
        <w:pStyle w:val="Heading2"/>
      </w:pPr>
      <w:bookmarkStart w:id="18" w:name="_d34f1635403c509cf5127c570e41765fa89f494"/>
      <w:r>
        <w:t xml:space="preserve">4. PEP boundary</w:t>
      </w:r>
    </w:p>
    <w:p>
      <w:pPr>
        <w:pStyle w:val="FirstParagraph"/>
      </w:pPr>
      <w:r>
        <w:t xml:space="preserve">PEP is a</w:t>
      </w:r>
      <w:r>
        <w:t xml:space="preserve"> </w:t>
      </w:r>
      <w:r>
        <w:rPr>
          <w:b/>
          <w:bCs/>
        </w:rPr>
        <w:t xml:space="preserve">canonical Domain Capability</w:t>
      </w:r>
      <w:r>
        <w:t xml:space="preserve">, not a currently registered DecisionEngine.</w:t>
      </w:r>
    </w:p>
    <w:p>
      <w:pPr>
        <w:pStyle w:val="SourceCode"/>
      </w:pPr>
      <w:r>
        <w:rPr>
          <w:rStyle w:val="VerbatimChar"/>
        </w:rPr>
        <w:t xml:space="preserve">PEP Capability</w:t>
      </w:r>
      <w:r>
        <w:br/>
      </w:r>
      <w:r>
        <w:rPr>
          <w:rStyle w:val="VerbatimChar"/>
        </w:rPr>
        <w:t xml:space="preserve">      ↓</w:t>
      </w:r>
      <w:r>
        <w:br/>
      </w:r>
      <w:r>
        <w:rPr>
          <w:rStyle w:val="VerbatimChar"/>
        </w:rPr>
        <w:t xml:space="preserve">src/domains/pep</w:t>
      </w:r>
      <w:r>
        <w:br/>
      </w:r>
      <w:r>
        <w:rPr>
          <w:rStyle w:val="VerbatimChar"/>
        </w:rPr>
        <w:t xml:space="preserve">      ↓</w:t>
      </w:r>
      <w:r>
        <w:br/>
      </w:r>
      <w:r>
        <w:rPr>
          <w:rStyle w:val="VerbatimChar"/>
        </w:rPr>
        <w:t xml:space="preserve">PEPService</w:t>
      </w:r>
      <w:r>
        <w:br/>
      </w:r>
      <w:r>
        <w:rPr>
          <w:rStyle w:val="VerbatimChar"/>
        </w:rPr>
        <w:t xml:space="preserve">      ↓</w:t>
      </w:r>
      <w:r>
        <w:br/>
      </w:r>
      <w:r>
        <w:rPr>
          <w:rStyle w:val="VerbatimChar"/>
        </w:rPr>
        <w:t xml:space="preserve">PEPProvider</w:t>
      </w:r>
      <w:r>
        <w:br/>
      </w:r>
      <w:r>
        <w:rPr>
          <w:rStyle w:val="VerbatimChar"/>
        </w:rPr>
        <w:t xml:space="preserve">      ↓</w:t>
      </w:r>
      <w:r>
        <w:br/>
      </w:r>
      <w:r>
        <w:rPr>
          <w:rStyle w:val="VerbatimChar"/>
        </w:rPr>
        <w:t xml:space="preserve">approved provider boundary</w:t>
      </w:r>
    </w:p>
    <w:p>
      <w:pPr>
        <w:pStyle w:val="FirstParagraph"/>
      </w:pPr>
      <w:r>
        <w:t xml:space="preserve">Current behavior is fail-closed when a concrete approved provider is unavailable.</w:t>
      </w:r>
    </w:p>
    <w:p>
      <w:pPr>
        <w:pStyle w:val="BodyText"/>
      </w:pPr>
      <w:r>
        <w:t xml:space="preserve">The platform does not fabricate PEP results and does not silently clear a failed provider call.</w:t>
      </w:r>
    </w:p>
    <w:p>
      <w:pPr>
        <w:pStyle w:val="Heading2"/>
      </w:pPr>
      <w:bookmarkStart w:id="19" w:name="_606a5ba380e06d3df3a2544c355f18d046201c5"/>
      <w:r>
        <w:t xml:space="preserve">5. SSOT ownership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Layer</w:t>
            </w:r>
          </w:p>
        </w:tc>
        <w:tc>
          <w:tcPr/>
          <w:p>
            <w:pPr>
              <w:pStyle w:val="Compact"/>
            </w:pPr>
            <w:r>
              <w:t xml:space="preserve">Authority</w:t>
            </w:r>
          </w:p>
        </w:tc>
      </w:tr>
      <w:tr>
        <w:tc>
          <w:tcPr/>
          <w:p>
            <w:pPr>
              <w:pStyle w:val="Compact"/>
            </w:pPr>
            <w:r>
              <w:t xml:space="preserve">Regulation</w:t>
            </w:r>
          </w:p>
        </w:tc>
        <w:tc>
          <w:tcPr/>
          <w:p>
            <w:pPr>
              <w:pStyle w:val="Compact"/>
            </w:pPr>
            <w:r>
              <w:t xml:space="preserve">applicable regulation</w:t>
            </w:r>
          </w:p>
        </w:tc>
      </w:tr>
      <w:tr>
        <w:tc>
          <w:tcPr/>
          <w:p>
            <w:pPr>
              <w:pStyle w:val="Compact"/>
            </w:pPr>
            <w:r>
              <w:t xml:space="preserve">ADR / formal security control</w:t>
            </w:r>
          </w:p>
        </w:tc>
        <w:tc>
          <w:tcPr/>
          <w:p>
            <w:pPr>
              <w:pStyle w:val="Compact"/>
            </w:pPr>
            <w:r>
              <w:t xml:space="preserve">approved governance artifacts</w:t>
            </w:r>
          </w:p>
        </w:tc>
      </w:tr>
      <w:tr>
        <w:tc>
          <w:tcPr/>
          <w:p>
            <w:pPr>
              <w:pStyle w:val="Compact"/>
            </w:pPr>
            <w:r>
              <w:t xml:space="preserve">Business-domain ownership</w:t>
            </w:r>
          </w:p>
        </w:tc>
        <w:tc>
          <w:tcPr/>
          <w:p>
            <w:pPr>
              <w:pStyle w:val="Compact"/>
            </w:pPr>
            <w:r>
              <w:rPr>
                <w:rStyle w:val="VerbatimChar"/>
              </w:rPr>
              <w:t xml:space="preserve">src/domains/catalog.py</w:t>
            </w:r>
          </w:p>
        </w:tc>
      </w:tr>
      <w:tr>
        <w:tc>
          <w:tcPr/>
          <w:p>
            <w:pPr>
              <w:pStyle w:val="Compact"/>
            </w:pPr>
            <w:r>
              <w:t xml:space="preserve">Machine topology</w:t>
            </w:r>
          </w:p>
        </w:tc>
        <w:tc>
          <w:tcPr/>
          <w:p>
            <w:pPr>
              <w:pStyle w:val="Compact"/>
            </w:pPr>
            <w:r>
              <w:rPr>
                <w:rStyle w:val="VerbatimChar"/>
              </w:rPr>
              <w:t xml:space="preserve">config/architecture/topology.json</w:t>
            </w:r>
          </w:p>
        </w:tc>
      </w:tr>
      <w:tr>
        <w:tc>
          <w:tcPr/>
          <w:p>
            <w:pPr>
              <w:pStyle w:val="Compact"/>
            </w:pPr>
            <w:r>
              <w:t xml:space="preserve">Decision runtime composition</w:t>
            </w:r>
          </w:p>
        </w:tc>
        <w:tc>
          <w:tcPr/>
          <w:p>
            <w:pPr>
              <w:pStyle w:val="Compact"/>
            </w:pPr>
            <w:r>
              <w:rPr>
                <w:rStyle w:val="VerbatimChar"/>
              </w:rPr>
              <w:t xml:space="preserve">src/bootstrap/container.py</w:t>
            </w:r>
          </w:p>
        </w:tc>
      </w:tr>
      <w:tr>
        <w:tc>
          <w:tcPr/>
          <w:p>
            <w:pPr>
              <w:pStyle w:val="Compact"/>
            </w:pPr>
            <w:r>
              <w:t xml:space="preserve">Capability activation</w:t>
            </w:r>
          </w:p>
        </w:tc>
        <w:tc>
          <w:tcPr/>
          <w:p>
            <w:pPr>
              <w:pStyle w:val="Compact"/>
            </w:pPr>
            <w:r>
              <w:rPr>
                <w:rStyle w:val="VerbatimChar"/>
              </w:rPr>
              <w:t xml:space="preserve">src/core/capabilities/activation.py</w:t>
            </w:r>
          </w:p>
        </w:tc>
      </w:tr>
      <w:tr>
        <w:tc>
          <w:tcPr/>
          <w:p>
            <w:pPr>
              <w:pStyle w:val="Compact"/>
            </w:pPr>
            <w:r>
              <w:t xml:space="preserve">Golden Path execution semantics</w:t>
            </w:r>
          </w:p>
        </w:tc>
        <w:tc>
          <w:tcPr/>
          <w:p>
            <w:pPr>
              <w:pStyle w:val="Compact"/>
            </w:pPr>
            <w:r>
              <w:rPr>
                <w:rStyle w:val="VerbatimChar"/>
              </w:rPr>
              <w:t xml:space="preserve">docs/architecture/identity-foundation/code-gate/HISN_GOLDEN_PATH.md</w:t>
            </w:r>
          </w:p>
        </w:tc>
      </w:tr>
      <w:tr>
        <w:tc>
          <w:tcPr/>
          <w:p>
            <w:pPr>
              <w:pStyle w:val="Compact"/>
            </w:pPr>
            <w:r>
              <w:t xml:space="preserve">Current architecture map</w:t>
            </w:r>
          </w:p>
        </w:tc>
        <w:tc>
          <w:tcPr/>
          <w:p>
            <w:pPr>
              <w:pStyle w:val="Compact"/>
            </w:pPr>
            <w:r>
              <w:rPr>
                <w:rStyle w:val="VerbatimChar"/>
              </w:rPr>
              <w:t xml:space="preserve">docs/architecture/HISN_CURRENT_ARCHITECTURE_2026-10-02.md</w:t>
            </w:r>
          </w:p>
        </w:tc>
      </w:tr>
      <w:tr>
        <w:tc>
          <w:tcPr/>
          <w:p>
            <w:pPr>
              <w:pStyle w:val="Compact"/>
            </w:pPr>
            <w:r>
              <w:t xml:space="preserve">Current active diagram</w:t>
            </w:r>
          </w:p>
        </w:tc>
        <w:tc>
          <w:tcPr/>
          <w:p>
            <w:pPr>
              <w:pStyle w:val="Compact"/>
            </w:pPr>
            <w:r>
              <w:rPr>
                <w:rStyle w:val="VerbatimChar"/>
              </w:rPr>
              <w:t xml:space="preserve">docs/architecture/HISN_ACTIVE_NOW_DIAGRAM_2026-10-02.md</w:t>
            </w:r>
          </w:p>
        </w:tc>
      </w:tr>
      <w:tr>
        <w:tc>
          <w:tcPr/>
          <w:p>
            <w:pPr>
              <w:pStyle w:val="Compact"/>
            </w:pPr>
            <w:r>
              <w:t xml:space="preserve">E2E authority</w:t>
            </w:r>
          </w:p>
        </w:tc>
        <w:tc>
          <w:tcPr/>
          <w:p>
            <w:pPr>
              <w:pStyle w:val="Compact"/>
            </w:pPr>
            <w:r>
              <w:rPr>
                <w:rStyle w:val="VerbatimChar"/>
              </w:rPr>
              <w:t xml:space="preserve">tests/test_e2e_transparent_golden_path.py</w:t>
            </w:r>
          </w:p>
        </w:tc>
      </w:tr>
    </w:tbl>
    <w:p>
      <w:pPr>
        <w:pStyle w:val="Heading2"/>
      </w:pPr>
      <w:bookmarkStart w:id="20" w:name="_abb8f8d8617c805f90bd03d4ba9b45e6bf70920"/>
      <w:r>
        <w:t xml:space="preserve">6. Golden Path</w:t>
      </w:r>
    </w:p>
    <w:p>
      <w:pPr>
        <w:pStyle w:val="SourceCode"/>
      </w:pPr>
      <w:r>
        <w:rPr>
          <w:rStyle w:val="VerbatimChar"/>
        </w:rPr>
        <w:t xml:space="preserve">01 INGEST</w:t>
      </w:r>
      <w:r>
        <w:br/>
      </w:r>
      <w:r>
        <w:rPr>
          <w:rStyle w:val="VerbatimChar"/>
        </w:rPr>
        <w:t xml:space="preserve">   ↓</w:t>
      </w:r>
      <w:r>
        <w:br/>
      </w:r>
      <w:r>
        <w:rPr>
          <w:rStyle w:val="VerbatimChar"/>
        </w:rPr>
        <w:t xml:space="preserve">02 CONTEXT</w:t>
      </w:r>
      <w:r>
        <w:br/>
      </w:r>
      <w:r>
        <w:rPr>
          <w:rStyle w:val="VerbatimChar"/>
        </w:rPr>
        <w:t xml:space="preserve">   ↓</w:t>
      </w:r>
      <w:r>
        <w:br/>
      </w:r>
      <w:r>
        <w:rPr>
          <w:rStyle w:val="VerbatimChar"/>
        </w:rPr>
        <w:t xml:space="preserve">03 IDENTITY</w:t>
      </w:r>
      <w:r>
        <w:br/>
      </w:r>
      <w:r>
        <w:rPr>
          <w:rStyle w:val="VerbatimChar"/>
        </w:rPr>
        <w:t xml:space="preserve">   ↓</w:t>
      </w:r>
      <w:r>
        <w:br/>
      </w:r>
      <w:r>
        <w:rPr>
          <w:rStyle w:val="VerbatimChar"/>
        </w:rPr>
        <w:t xml:space="preserve">04 SCREENING (PEP / SANCTIONS)</w:t>
      </w:r>
      <w:r>
        <w:br/>
      </w:r>
      <w:r>
        <w:rPr>
          <w:rStyle w:val="VerbatimChar"/>
        </w:rPr>
        <w:t xml:space="preserve">   ↓</w:t>
      </w:r>
      <w:r>
        <w:br/>
      </w:r>
      <w:r>
        <w:rPr>
          <w:rStyle w:val="VerbatimChar"/>
        </w:rPr>
        <w:t xml:space="preserve">05 DETECTION (AML / FRAUD)</w:t>
      </w:r>
      <w:r>
        <w:br/>
      </w:r>
      <w:r>
        <w:rPr>
          <w:rStyle w:val="VerbatimChar"/>
        </w:rPr>
        <w:t xml:space="preserve">   ↓</w:t>
      </w:r>
      <w:r>
        <w:br/>
      </w:r>
      <w:r>
        <w:rPr>
          <w:rStyle w:val="VerbatimChar"/>
        </w:rPr>
        <w:t xml:space="preserve">06 GRAPH</w:t>
      </w:r>
      <w:r>
        <w:br/>
      </w:r>
      <w:r>
        <w:rPr>
          <w:rStyle w:val="VerbatimChar"/>
        </w:rPr>
        <w:t xml:space="preserve">   ↓</w:t>
      </w:r>
      <w:r>
        <w:br/>
      </w:r>
      <w:r>
        <w:rPr>
          <w:rStyle w:val="VerbatimChar"/>
        </w:rPr>
        <w:t xml:space="preserve">07 RISK + POLICY</w:t>
      </w:r>
      <w:r>
        <w:br/>
      </w:r>
      <w:r>
        <w:rPr>
          <w:rStyle w:val="VerbatimChar"/>
        </w:rPr>
        <w:t xml:space="preserve">   ↓</w:t>
      </w:r>
      <w:r>
        <w:br/>
      </w:r>
      <w:r>
        <w:rPr>
          <w:rStyle w:val="VerbatimChar"/>
        </w:rPr>
        <w:t xml:space="preserve">08 DECISION</w:t>
      </w:r>
      <w:r>
        <w:br/>
      </w:r>
      <w:r>
        <w:rPr>
          <w:rStyle w:val="VerbatimChar"/>
        </w:rPr>
        <w:t xml:space="preserve">   ↓</w:t>
      </w:r>
      <w:r>
        <w:br/>
      </w:r>
      <w:r>
        <w:rPr>
          <w:rStyle w:val="VerbatimChar"/>
        </w:rPr>
        <w:t xml:space="preserve">09 EVIDENCE + DECISION DNA</w:t>
      </w:r>
      <w:r>
        <w:br/>
      </w:r>
      <w:r>
        <w:rPr>
          <w:rStyle w:val="VerbatimChar"/>
        </w:rPr>
        <w:t xml:space="preserve">   ↓</w:t>
      </w:r>
      <w:r>
        <w:br/>
      </w:r>
      <w:r>
        <w:rPr>
          <w:rStyle w:val="VerbatimChar"/>
        </w:rPr>
        <w:t xml:space="preserve">10 AUDIT + CASE / ACTION</w:t>
      </w:r>
      <w:r>
        <w:br/>
      </w:r>
      <w:r>
        <w:rPr>
          <w:rStyle w:val="VerbatimChar"/>
        </w:rPr>
        <w:t xml:space="preserve">   ↓</w:t>
      </w:r>
      <w:r>
        <w:br/>
      </w:r>
      <w:r>
        <w:rPr>
          <w:rStyle w:val="VerbatimChar"/>
        </w:rPr>
        <w:t xml:space="preserve">11 EXECUTIVE / OPERATIONS</w:t>
      </w:r>
    </w:p>
    <w:p>
      <w:pPr>
        <w:pStyle w:val="FirstParagraph"/>
      </w:pPr>
      <w:r>
        <w:t xml:space="preserve">PEP is represented at Stage 04 as an active Domain Capability with a fail-closed provider boundary. It is not represented as an additional DecisionEngine.</w:t>
      </w:r>
    </w:p>
    <w:p>
      <w:pPr>
        <w:pStyle w:val="Heading2"/>
      </w:pPr>
      <w:bookmarkStart w:id="21" w:name="_90aec085a128df8e34c4a45d18feebfbe117207"/>
      <w:r>
        <w:t xml:space="preserve">7. Legacy / historical rule</w:t>
      </w:r>
    </w:p>
    <w:p>
      <w:pPr>
        <w:pStyle w:val="SourceCode"/>
      </w:pPr>
      <w:r>
        <w:rPr>
          <w:rStyle w:val="VerbatimChar"/>
        </w:rPr>
        <w:t xml:space="preserve">PRESERVED</w:t>
      </w:r>
      <w:r>
        <w:br/>
      </w:r>
      <w:r>
        <w:rPr>
          <w:rStyle w:val="VerbatimChar"/>
        </w:rPr>
        <w:t xml:space="preserve">   ≠ ACTIVE</w:t>
      </w:r>
      <w:r>
        <w:br/>
      </w:r>
      <w:r>
        <w:rPr>
          <w:rStyle w:val="VerbatimChar"/>
        </w:rPr>
        <w:t xml:space="preserve">   ≠ AUTHORITY</w:t>
      </w:r>
    </w:p>
    <w:p>
      <w:pPr>
        <w:pStyle w:val="FirstParagraph"/>
      </w:pPr>
      <w:r>
        <w:t xml:space="preserve">Historical implementations can remain for provenance, forensic reconciliation, or controlled migration. They must not be dynamically discovered, silently registered, inserted into the Golden Path, or treated as canonical merely because they exist on disk.</w:t>
      </w:r>
    </w:p>
    <w:p>
      <w:pPr>
        <w:pStyle w:val="Heading2"/>
      </w:pPr>
      <w:bookmarkStart w:id="22" w:name="_enforcement"/>
      <w:r>
        <w:t xml:space="preserve">8. Enforcement</w:t>
      </w:r>
    </w:p>
    <w:p>
      <w:pPr>
        <w:pStyle w:val="FirstParagraph"/>
      </w:pPr>
      <w:r>
        <w:t xml:space="preserve">Architecture tests enforce:</w:t>
      </w:r>
    </w:p>
    <w:p>
      <w:pPr>
        <w:pStyle w:val="Compact"/>
        <w:numPr>
          <w:ilvl w:val="0"/>
          <w:numId w:val="1006"/>
        </w:numPr>
      </w:pPr>
      <w:r>
        <w:t xml:space="preserve">machine-readable SSOT topology</w:t>
      </w:r>
    </w:p>
    <w:p>
      <w:pPr>
        <w:pStyle w:val="Compact"/>
        <w:numPr>
          <w:ilvl w:val="0"/>
          <w:numId w:val="1006"/>
        </w:numPr>
      </w:pPr>
      <w:r>
        <w:t xml:space="preserve">explicit engine composition</w:t>
      </w:r>
    </w:p>
    <w:p>
      <w:pPr>
        <w:pStyle w:val="Compact"/>
        <w:numPr>
          <w:ilvl w:val="0"/>
          <w:numId w:val="1006"/>
        </w:numPr>
      </w:pPr>
      <w:r>
        <w:t xml:space="preserve">no dynamic engine discovery</w:t>
      </w:r>
    </w:p>
    <w:p>
      <w:pPr>
        <w:pStyle w:val="Compact"/>
        <w:numPr>
          <w:ilvl w:val="0"/>
          <w:numId w:val="1006"/>
        </w:numPr>
      </w:pPr>
      <w:r>
        <w:t xml:space="preserve">one canonical backend E2E authority</w:t>
      </w:r>
    </w:p>
    <w:p>
      <w:pPr>
        <w:pStyle w:val="Compact"/>
        <w:numPr>
          <w:ilvl w:val="0"/>
          <w:numId w:val="1006"/>
        </w:numPr>
      </w:pPr>
      <w:r>
        <w:t xml:space="preserve">20 active capability registry</w:t>
      </w:r>
    </w:p>
    <w:p>
      <w:pPr>
        <w:pStyle w:val="Compact"/>
        <w:numPr>
          <w:ilvl w:val="0"/>
          <w:numId w:val="1006"/>
        </w:numPr>
      </w:pPr>
      <w:r>
        <w:t xml:space="preserve">PEP domain-vs-engine distinction</w:t>
      </w:r>
    </w:p>
    <w:p>
      <w:pPr>
        <w:pStyle w:val="Compact"/>
        <w:numPr>
          <w:ilvl w:val="0"/>
          <w:numId w:val="1006"/>
        </w:numPr>
      </w:pPr>
      <w:r>
        <w:t xml:space="preserve">current Golden Path alignment</w:t>
      </w:r>
    </w:p>
    <w:p>
      <w:pPr>
        <w:pStyle w:val="FirstParagraph"/>
      </w:pPr>
      <w:r>
        <w:t xml:space="preserve">The current assurance gate is:</w:t>
      </w:r>
    </w:p>
    <w:p>
      <w:pPr>
        <w:pStyle w:val="BodyText"/>
      </w:pPr>
      <w:r>
        <w:rPr>
          <w:rStyle w:val="VerbatimChar"/>
        </w:rPr>
        <w:t xml:space="preserve">scripts/assurance/current_main_assurance_gate.sh</w:t>
      </w:r>
    </w:p>
    <w:p>
      <w:pPr>
        <w:pStyle w:val="BodyText"/>
      </w:pPr>
      <w:r>
        <w:t xml:space="preserve">This script runs the SSOT guards, capability/authority guards, Golden Path E2E, complementary decision pipeline, real-DB assurance tests, and full regression.</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Technology</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ajawal" w:hAnsi="Tajawal" w:cs="Tajawal"/>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MAP</dc:title>
  <dc:creator>HISN Platform</dc:creator>
  <cp:keywords>HISN, FCDOS, financial crime, decision operating system</cp:keywords>
  <dcterms:created xsi:type="dcterms:W3CDTF">2026-10-13T12:56:52Z</dcterms:created>
  <dcterms:modified xsi:type="dcterms:W3CDTF">2026-10-13T12:56:52Z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