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02_Security_Control_Mapping</w:t>
      </w:r>
    </w:p>
    <w:p>
      <w:pPr>
        <w:pStyle w:val="Heading1"/>
      </w:pPr>
      <w:bookmarkStart w:id="19" w:name="_4fedbab48dd52d10916c95076d6110e6afad960"/>
      <w:r>
        <w:t xml:space="preserve">Security Control Mapping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Information Security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Security Control Mapping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Repository security architecture, SAMA CSF, NCA ECC, PDPL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independent security assessment. No certification obtained.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document maps HISN’s security controls against the Saudi regulatory frameworks that apply to HISN’s target customers (SAMA CSF, NCA ECC, PDPL). It is prepared for bank CISO due diligence.</w:t>
      </w:r>
    </w:p>
    <w:p>
      <w:pPr>
        <w:pStyle w:val="BodyText"/>
      </w:pPr>
      <w:r>
        <w:rPr>
          <w:b/>
          <w:bCs/>
        </w:rPr>
        <w:t xml:space="preserve">HISN is not certified against any framework. This mapping documents alignment intent, not certification.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f8a84b2ebfe192941418f0012ed244565a769b8"/>
      <w:r>
        <w:t xml:space="preserve">2. SAMA Cyber Security Framework (SAMA CSF) Mapping</w:t>
      </w:r>
    </w:p>
    <w:p>
      <w:pPr>
        <w:pStyle w:val="FirstParagraph"/>
      </w:pPr>
      <w:r>
        <w:t xml:space="preserve">SAMA CSF uses a 0–5 maturity model. The table below documents HISN’s self-assessed alignment:</w:t>
      </w:r>
    </w:p>
    <w:p>
      <w:pPr>
        <w:pStyle w:val="Heading3"/>
      </w:pPr>
      <w:bookmarkStart w:id="23" w:name="_5ad3535c22e7bcec7adbed6a1a180ef843678e6"/>
      <w:r>
        <w:t xml:space="preserve">2.1 Governance (Domain 1)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HISN Position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 strategy documented</w:t>
            </w:r>
          </w:p>
        </w:tc>
        <w:tc>
          <w:tcPr/>
          <w:p>
            <w:pPr>
              <w:pStyle w:val="Compact"/>
            </w:pPr>
            <w:r>
              <w:t xml:space="preserve">Yes — Security Architecture (repository)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Roles and responsibilities</w:t>
            </w:r>
          </w:p>
        </w:tc>
        <w:tc>
          <w:tcPr/>
          <w:p>
            <w:pPr>
              <w:pStyle w:val="Compact"/>
            </w:pPr>
            <w:r>
              <w:t xml:space="preserve">Defined in ADRs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Policies approved</w:t>
            </w:r>
          </w:p>
        </w:tc>
        <w:tc>
          <w:tcPr/>
          <w:p>
            <w:pPr>
              <w:pStyle w:val="Compact"/>
            </w:pPr>
            <w:r>
              <w:t xml:space="preserve">Framework in place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management</w:t>
            </w:r>
          </w:p>
        </w:tc>
        <w:tc>
          <w:tcPr/>
          <w:p>
            <w:pPr>
              <w:pStyle w:val="Compact"/>
            </w:pPr>
            <w:r>
              <w:t xml:space="preserve">Enterprise Risk Register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Self-Assessed Maturity:</w:t>
      </w:r>
      <w:r>
        <w:t xml:space="preserve"> </w:t>
      </w:r>
      <w:r>
        <w:t xml:space="preserve">Level 3 (Defined, implemented, evidenced) — MANAGEMENT ASSESSMENT.</w:t>
      </w:r>
    </w:p>
    <w:p>
      <w:pPr>
        <w:pStyle w:val="Heading3"/>
      </w:pPr>
      <w:bookmarkStart w:id="24" w:name="_415ee4a7ef33bf9cb5356e253fda68f42a999b2"/>
      <w:r>
        <w:t xml:space="preserve">2.2 Defense (Domain 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HISN Position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 management</w:t>
            </w:r>
          </w:p>
        </w:tc>
        <w:tc>
          <w:tcPr/>
          <w:p>
            <w:pPr>
              <w:pStyle w:val="Compact"/>
            </w:pPr>
            <w:r>
              <w:t xml:space="preserve">Repository inventory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control (RBAC)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access (PAM)</w:t>
            </w:r>
          </w:p>
        </w:tc>
        <w:tc>
          <w:tcPr/>
          <w:p>
            <w:pPr>
              <w:pStyle w:val="Compact"/>
            </w:pPr>
            <w:r>
              <w:t xml:space="preserve">NOT deployed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at rest</w:t>
            </w:r>
          </w:p>
        </w:tc>
        <w:tc>
          <w:tcPr/>
          <w:p>
            <w:pPr>
              <w:pStyle w:val="Compact"/>
            </w:pPr>
            <w:r>
              <w:t xml:space="preserve">AES-256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in transit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 security</w:t>
            </w:r>
          </w:p>
        </w:tc>
        <w:tc>
          <w:tcPr/>
          <w:p>
            <w:pPr>
              <w:pStyle w:val="Compact"/>
            </w:pPr>
            <w:r>
              <w:t xml:space="preserve">Cloud-native controls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Logging</w:t>
            </w:r>
          </w:p>
        </w:tc>
        <w:tc>
          <w:tcPr/>
          <w:p>
            <w:pPr>
              <w:pStyle w:val="Compact"/>
            </w:pPr>
            <w:r>
              <w:t xml:space="preserve">Audit chain 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t xml:space="preserve">Not formalized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Gap:</w:t>
      </w:r>
      <w:r>
        <w:t xml:space="preserve"> </w:t>
      </w:r>
      <w:r>
        <w:t xml:space="preserve">PAM, formal vulnerability management.</w:t>
      </w:r>
    </w:p>
    <w:p>
      <w:pPr>
        <w:pStyle w:val="Heading3"/>
      </w:pPr>
      <w:bookmarkStart w:id="25" w:name="_f326500bef11f1bf7cab534cea57719564f71d4"/>
      <w:r>
        <w:t xml:space="preserve">2.3 Resilience (Domain 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HISN Position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</w:t>
            </w:r>
          </w:p>
        </w:tc>
        <w:tc>
          <w:tcPr/>
          <w:p>
            <w:pPr>
              <w:pStyle w:val="Compact"/>
            </w:pPr>
            <w:r>
              <w:t xml:space="preserve">Design in place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Disaster Recovery</w:t>
            </w:r>
          </w:p>
        </w:tc>
        <w:tc>
          <w:tcPr/>
          <w:p>
            <w:pPr>
              <w:pStyle w:val="Compact"/>
            </w:pPr>
            <w:r>
              <w:t xml:space="preserve">Design documented; testing not done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</w:t>
            </w:r>
          </w:p>
        </w:tc>
        <w:tc>
          <w:tcPr/>
          <w:p>
            <w:pPr>
              <w:pStyle w:val="Compact"/>
            </w:pPr>
            <w:r>
              <w:t xml:space="preserve">IR plan documented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Business Continuity</w:t>
            </w:r>
          </w:p>
        </w:tc>
        <w:tc>
          <w:tcPr/>
          <w:p>
            <w:pPr>
              <w:pStyle w:val="Compact"/>
            </w:pPr>
            <w:r>
              <w:t xml:space="preserve">BCP documented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Gap:</w:t>
      </w:r>
      <w:r>
        <w:t xml:space="preserve"> </w:t>
      </w:r>
      <w:r>
        <w:t xml:space="preserve">DR testing not conducted.</w:t>
      </w:r>
    </w:p>
    <w:p>
      <w:pPr>
        <w:pStyle w:val="Heading3"/>
      </w:pPr>
      <w:bookmarkStart w:id="26" w:name="_84ecebccac2abdfffb3b2f986404f499189d90b"/>
      <w:r>
        <w:t xml:space="preserve">2.4 Third-Party (Domain 4)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HISN Position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policy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contracts</w:t>
            </w:r>
          </w:p>
        </w:tc>
        <w:tc>
          <w:tcPr/>
          <w:p>
            <w:pPr>
              <w:pStyle w:val="Compact"/>
            </w:pPr>
            <w:r>
              <w:t xml:space="preserve">Framework templates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security reviews</w:t>
            </w:r>
          </w:p>
        </w:tc>
        <w:tc>
          <w:tcPr/>
          <w:p>
            <w:pPr>
              <w:pStyle w:val="Compact"/>
            </w:pPr>
            <w:r>
              <w:t xml:space="preserve">To be conducted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5864b8fe7bad562c312ec44de2e475132fbfd60"/>
      <w:r>
        <w:t xml:space="preserve">3. NCA Essential Cybersecurity Controls (ECC) Mapping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 Domain</w:t>
            </w:r>
          </w:p>
        </w:tc>
        <w:tc>
          <w:tcPr/>
          <w:p>
            <w:pPr>
              <w:pStyle w:val="Compact"/>
            </w:pPr>
            <w:r>
              <w:t xml:space="preserve">HISN Alignment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Cybersecurity Governance</w:t>
            </w:r>
          </w:p>
        </w:tc>
        <w:tc>
          <w:tcPr/>
          <w:p>
            <w:pPr>
              <w:pStyle w:val="Compact"/>
            </w:pPr>
            <w:r>
              <w:t xml:space="preserve">Documented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Cybersecurity Defense</w:t>
            </w:r>
          </w:p>
        </w:tc>
        <w:tc>
          <w:tcPr/>
          <w:p>
            <w:pPr>
              <w:pStyle w:val="Compact"/>
            </w:pPr>
            <w:r>
              <w:t xml:space="preserve">Partial — PAM gap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Cybersecurity Resilience</w:t>
            </w:r>
          </w:p>
        </w:tc>
        <w:tc>
          <w:tcPr/>
          <w:p>
            <w:pPr>
              <w:pStyle w:val="Compact"/>
            </w:pPr>
            <w:r>
              <w:t xml:space="preserve">Partial — DR testing gap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Third-Party Cybersecurity</w:t>
            </w:r>
          </w:p>
        </w:tc>
        <w:tc>
          <w:tcPr/>
          <w:p>
            <w:pPr>
              <w:pStyle w:val="Compact"/>
            </w:pPr>
            <w:r>
              <w:t xml:space="preserve">Documented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ICS Cybersecurity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32681948cbdb09ed762fd59bd8543b5b7c59da1"/>
      <w:r>
        <w:t xml:space="preserve">4. PDPL Data Protection Mapping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HISN Alignment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classification</w:t>
            </w:r>
          </w:p>
        </w:tc>
        <w:tc>
          <w:tcPr/>
          <w:p>
            <w:pPr>
              <w:pStyle w:val="Compact"/>
            </w:pPr>
            <w:r>
              <w:t xml:space="preserve">Matrix in place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residency</w:t>
            </w:r>
          </w:p>
        </w:tc>
        <w:tc>
          <w:tcPr/>
          <w:p>
            <w:pPr>
              <w:pStyle w:val="Compact"/>
            </w:pPr>
            <w:r>
              <w:t xml:space="preserve">KSA region option available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Consent management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subject rights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Breach notification</w:t>
            </w:r>
          </w:p>
        </w:tc>
        <w:tc>
          <w:tcPr/>
          <w:p>
            <w:pPr>
              <w:pStyle w:val="Compact"/>
            </w:pPr>
            <w:r>
              <w:t xml:space="preserve">IR plan covers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Cross-border transfers</w:t>
            </w:r>
          </w:p>
        </w:tc>
        <w:tc>
          <w:tcPr/>
          <w:p>
            <w:pPr>
              <w:pStyle w:val="Compact"/>
            </w:pPr>
            <w:r>
              <w:t xml:space="preserve">Assessment 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ROPA</w:t>
            </w:r>
          </w:p>
        </w:tc>
        <w:tc>
          <w:tcPr/>
          <w:p>
            <w:pPr>
              <w:pStyle w:val="Compact"/>
            </w:pPr>
            <w:r>
              <w:t xml:space="preserve">To be maintained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DPO appointment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1ac237d5b879549dcc7ed2364904350f75f8ec8"/>
      <w:r>
        <w:t xml:space="preserve">5. Controls Currently Not in Place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CSF certification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/ SOC integration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Access Management (PAM)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KMS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Formal vulnerability management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 testing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 Security Operations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SOC2 / ISO 27001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DPO appointment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53d3d6e96eba9119ecd2b8d4fc100632a746776"/>
      <w:r>
        <w:t xml:space="preserve">6. Security Roadmap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Milestone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Post-raise Month 3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CSF control mapping</w:t>
            </w:r>
          </w:p>
        </w:tc>
        <w:tc>
          <w:tcPr/>
          <w:p>
            <w:pPr>
              <w:pStyle w:val="Compact"/>
            </w:pPr>
            <w:r>
              <w:t xml:space="preserve">Post-raise Month 4</w:t>
            </w:r>
          </w:p>
        </w:tc>
        <w:tc>
          <w:tcPr/>
          <w:p>
            <w:pPr>
              <w:pStyle w:val="Compact"/>
            </w:pPr>
            <w:r>
              <w:t xml:space="preserve">Mapping doc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SIEM/SOC deployment</w:t>
            </w:r>
          </w:p>
        </w:tc>
        <w:tc>
          <w:tcPr/>
          <w:p>
            <w:pPr>
              <w:pStyle w:val="Compact"/>
            </w:pPr>
            <w:r>
              <w:t xml:space="preserve">Post-raise Month 6</w:t>
            </w:r>
          </w:p>
        </w:tc>
        <w:tc>
          <w:tcPr/>
          <w:p>
            <w:pPr>
              <w:pStyle w:val="Compact"/>
            </w:pPr>
            <w:r>
              <w:t xml:space="preserve">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 test</w:t>
            </w:r>
          </w:p>
        </w:tc>
        <w:tc>
          <w:tcPr/>
          <w:p>
            <w:pPr>
              <w:pStyle w:val="Compact"/>
            </w:pPr>
            <w:r>
              <w:t xml:space="preserve">Post-raise Month 4</w:t>
            </w:r>
          </w:p>
        </w:tc>
        <w:tc>
          <w:tcPr/>
          <w:p>
            <w:pPr>
              <w:pStyle w:val="Compact"/>
            </w:pPr>
            <w:r>
              <w:t xml:space="preserve">Test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HSM/KMS</w:t>
            </w:r>
          </w:p>
        </w:tc>
        <w:tc>
          <w:tcPr/>
          <w:p>
            <w:pPr>
              <w:pStyle w:val="Compact"/>
            </w:pPr>
            <w:r>
              <w:t xml:space="preserve">Post-raise Month 6</w:t>
            </w:r>
          </w:p>
        </w:tc>
        <w:tc>
          <w:tcPr/>
          <w:p>
            <w:pPr>
              <w:pStyle w:val="Compact"/>
            </w:pPr>
            <w:r>
              <w:t xml:space="preserve">Deployment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PAM</w:t>
            </w:r>
          </w:p>
        </w:tc>
        <w:tc>
          <w:tcPr/>
          <w:p>
            <w:pPr>
              <w:pStyle w:val="Compact"/>
            </w:pPr>
            <w:r>
              <w:t xml:space="preserve">Post-raise Month 6</w:t>
            </w:r>
          </w:p>
        </w:tc>
        <w:tc>
          <w:tcPr/>
          <w:p>
            <w:pPr>
              <w:pStyle w:val="Compact"/>
            </w:pPr>
            <w:r>
              <w:t xml:space="preserve">Deployment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 SOC</w:t>
            </w:r>
          </w:p>
        </w:tc>
        <w:tc>
          <w:tcPr/>
          <w:p>
            <w:pPr>
              <w:pStyle w:val="Compact"/>
            </w:pPr>
            <w:r>
              <w:t xml:space="preserve">Year 2</w:t>
            </w:r>
          </w:p>
        </w:tc>
        <w:tc>
          <w:tcPr/>
          <w:p>
            <w:pPr>
              <w:pStyle w:val="Compact"/>
            </w:pPr>
            <w:r>
              <w:t xml:space="preserve">Operational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SOC2 readiness</w:t>
            </w:r>
          </w:p>
        </w:tc>
        <w:tc>
          <w:tcPr/>
          <w:p>
            <w:pPr>
              <w:pStyle w:val="Compact"/>
            </w:pPr>
            <w:r>
              <w:t xml:space="preserve">Year 2</w:t>
            </w:r>
          </w:p>
        </w:tc>
        <w:tc>
          <w:tcPr/>
          <w:p>
            <w:pPr>
              <w:pStyle w:val="Compact"/>
            </w:pPr>
            <w:r>
              <w:t xml:space="preserve">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 27001</w:t>
            </w:r>
          </w:p>
        </w:tc>
        <w:tc>
          <w:tcPr/>
          <w:p>
            <w:pPr>
              <w:pStyle w:val="Compact"/>
            </w:pPr>
            <w:r>
              <w:t xml:space="preserve">Year 3</w:t>
            </w:r>
          </w:p>
        </w:tc>
        <w:tc>
          <w:tcPr/>
          <w:p>
            <w:pPr>
              <w:pStyle w:val="Compact"/>
            </w:pPr>
            <w:r>
              <w:t xml:space="preserve">Certification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f148e3e83731a66f32dd7beb93cc2bcfbf173dd"/>
      <w:r>
        <w:t xml:space="preserve">7. Customer Responsibility</w:t>
      </w:r>
    </w:p>
    <w:p>
      <w:pPr>
        <w:pStyle w:val="FirstParagraph"/>
      </w:pPr>
      <w:r>
        <w:t xml:space="preserve">HISN provides technology controls.</w:t>
      </w:r>
      <w:r>
        <w:t xml:space="preserve"> </w:t>
      </w:r>
      <w:r>
        <w:rPr>
          <w:b/>
          <w:bCs/>
        </w:rPr>
        <w:t xml:space="preserve">Regulatory compliance remains with the customer institution.</w:t>
      </w:r>
      <w:r>
        <w:t xml:space="preserve"> </w:t>
      </w:r>
      <w:r>
        <w:t xml:space="preserve">HISN does not inherit the customer’s regulatory status.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disclaimer"/>
      <w:r>
        <w:t xml:space="preserve">8. Disclaimer</w:t>
      </w:r>
    </w:p>
    <w:p>
      <w:pPr>
        <w:pStyle w:val="FirstParagraph"/>
      </w:pPr>
      <w:r>
        <w:t xml:space="preserve">This Security Control Mapping documents HISN’s self-assessed alignment with SAMA CSF, NCA ECC, and PDPL.</w:t>
      </w:r>
      <w:r>
        <w:t xml:space="preserve"> </w:t>
      </w:r>
      <w:r>
        <w:rPr>
          <w:b/>
          <w:bCs/>
        </w:rPr>
        <w:t xml:space="preserve">No certification has been obtained. No independent assessment has been conducted.</w:t>
      </w:r>
      <w:r>
        <w:t xml:space="preserve"> </w:t>
      </w:r>
      <w:r>
        <w:t xml:space="preserve">All control status is based on repository evidence as of October 2026.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Security Control Mapping</dc:title>
  <dc:creator>HISN Platform</dc:creator>
  <cp:keywords>HISN, FCDOS, financial crime, decision operating system</cp:keywords>
  <dcterms:created xsi:type="dcterms:W3CDTF">2026-10-14T13:37:04Z</dcterms:created>
  <dcterms:modified xsi:type="dcterms:W3CDTF">2026-10-14T13:37:04Z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