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9" w:name="_a6444b1b10659b6ea689b804e921514fd39a154"/>
      <w:r>
        <w:t xml:space="preserve">HISN Capability Recovery — Secure Engineering Standard</w:t>
      </w:r>
    </w:p>
    <w:p>
      <w:pPr>
        <w:pStyle w:val="FirstParagraph"/>
      </w:pPr>
      <w:r>
        <w:rPr>
          <w:b/>
          <w:bCs/>
        </w:rPr>
        <w:t xml:space="preserve">Status:</w:t>
      </w:r>
      <w:r>
        <w:t xml:space="preserve"> </w:t>
      </w:r>
      <w:r>
        <w:t xml:space="preserve">APPROVED / MANDATORY for Capability Recovery</w:t>
      </w:r>
      <w:r>
        <w:t xml:space="preserve"> </w:t>
      </w:r>
      <w:r>
        <w:rPr>
          <w:b/>
          <w:bCs/>
        </w:rPr>
        <w:t xml:space="preserve">Protocol:</w:t>
      </w:r>
      <w:r>
        <w:t xml:space="preserve"> </w:t>
      </w:r>
      <w:r>
        <w:t xml:space="preserve">Directive 039/2026 + Directive 040/2026</w:t>
      </w:r>
      <w:r>
        <w:t xml:space="preserve"> </w:t>
      </w:r>
      <w:r>
        <w:rPr>
          <w:b/>
          <w:bCs/>
        </w:rPr>
        <w:t xml:space="preserve">Scope:</w:t>
      </w:r>
      <w:r>
        <w:t xml:space="preserve"> </w:t>
      </w:r>
      <w:r>
        <w:t xml:space="preserve">Every recovered capability</w:t>
      </w:r>
    </w:p>
    <w:p>
      <w:pPr>
        <w:pStyle w:val="Heading2"/>
      </w:pPr>
      <w:bookmarkStart w:id="10" w:name="_06ee619674df2cfc27411e6daef9f41aef734c8"/>
      <w:r>
        <w:t xml:space="preserve">Secure-by-design baseline</w:t>
      </w:r>
    </w:p>
    <w:p>
      <w:pPr>
        <w:pStyle w:val="FirstParagraph"/>
      </w:pPr>
      <w:r>
        <w:t xml:space="preserve">Capability recovery is security-sensitive financial-system engineering. Functional behavior alone is insufficient; confidentiality, integrity, availability, tenant isolation, auditability, provenance, deterministic semantics, and data-protection controls must be proven.</w:t>
      </w:r>
    </w:p>
    <w:p>
      <w:pPr>
        <w:pStyle w:val="BodyText"/>
      </w:pPr>
      <w:r>
        <w:t xml:space="preserve">Engineering alignment targets include SAMA Cyber Security Framework, NCA ECC 2-2024, NCA DCC-1:2022, NCA CCC-2:2024 where applicable, and Saudi PDPL/Implementing Regulations. This is an engineering baseline, not regulatory certification.</w:t>
      </w:r>
    </w:p>
    <w:p>
      <w:pPr>
        <w:pStyle w:val="Heading2"/>
      </w:pPr>
      <w:bookmarkStart w:id="11" w:name="_298fc422da51e11a836e997dcbcf9dba9559634"/>
      <w:r>
        <w:t xml:space="preserve">Mandatory rules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Data minimization:</w:t>
      </w:r>
      <w:r>
        <w:t xml:space="preserve"> </w:t>
      </w:r>
      <w:r>
        <w:t xml:space="preserve">process only fields required for the capability; never dump customer records, identity documents, account/card numbers, credentials, or unnecessary transaction payloads into evidence or logs.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Tenant isolation:</w:t>
      </w:r>
      <w:r>
        <w:t xml:space="preserve"> </w:t>
      </w:r>
      <w:r>
        <w:t xml:space="preserve">tenant identity comes from trusted authenticated runtime context; rules never infer tenant from caller-controlled payload fields.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Failure semantics:</w:t>
      </w:r>
      <w:r>
        <w:t xml:space="preserve"> </w:t>
      </w:r>
      <w:r>
        <w:rPr>
          <w:rStyle w:val="VerbatimChar"/>
        </w:rPr>
        <w:t xml:space="preserve">except Exception: return []</w:t>
      </w:r>
      <w:r>
        <w:t xml:space="preserve"> </w:t>
      </w:r>
      <w:r>
        <w:t xml:space="preserve">is prohibited. Successful no-signal, indeterminate evaluation, and system failure are distinct states. Indeterminate/system failures must not appear as clean financial-crime results.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Evidence integrity:</w:t>
      </w:r>
      <w:r>
        <w:t xml:space="preserve"> </w:t>
      </w:r>
      <w:r>
        <w:t xml:space="preserve">use the canonical Evidence contract and include only the provenance necessary for replay/audit.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Cryptographic integrity:</w:t>
      </w:r>
      <w:r>
        <w:t xml:space="preserve"> </w:t>
      </w:r>
      <w:r>
        <w:t xml:space="preserve">hashes support integrity/identity verification; they do not replace access control, encryption, or signatures where authenticity is required. Untrusted executable model deserialization is prohibited.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Secrets:</w:t>
      </w:r>
      <w:r>
        <w:t xml:space="preserve"> </w:t>
      </w:r>
      <w:r>
        <w:t xml:space="preserve">no secrets in source, configuration, fixtures, logs, evidence, or commits.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Logging:</w:t>
      </w:r>
      <w:r>
        <w:t xml:space="preserve"> </w:t>
      </w:r>
      <w:r>
        <w:t xml:space="preserve">structured, correlation-aware, tenant-aware, data-minimized; no raw identity numbers, full financial identifiers, credentials, or full customer payloads.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Determinism:</w:t>
      </w:r>
      <w:r>
        <w:t xml:space="preserve"> </w:t>
      </w:r>
      <w:r>
        <w:t xml:space="preserve">replay must be possible from canonical inputs plus explicit versioned model/config/policy/external dependencies.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Dependencies:</w:t>
      </w:r>
      <w:r>
        <w:t xml:space="preserve"> </w:t>
      </w:r>
      <w:r>
        <w:t xml:space="preserve">new dependencies require justification and SCA/security/license review.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Security tests:</w:t>
      </w:r>
      <w:r>
        <w:t xml:space="preserve"> </w:t>
      </w:r>
      <w:r>
        <w:t xml:space="preserve">authorization, tenant isolation, malformed input, data leakage, failure/indeterminate paths, replay, artifact provenance, configuration tampering, and regression.</w:t>
      </w:r>
    </w:p>
    <w:p>
      <w:pPr>
        <w:pStyle w:val="Heading2"/>
      </w:pPr>
      <w:bookmarkStart w:id="12" w:name="_f3a46b58e49629c4ced4c252b831545f9ca9d39"/>
      <w:r>
        <w:t xml:space="preserve">Security gates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Gate</w:t>
            </w:r>
          </w:p>
        </w:tc>
        <w:tc>
          <w:tcPr/>
          <w:p>
            <w:pPr>
              <w:pStyle w:val="Compact"/>
            </w:pPr>
            <w:r>
              <w:t xml:space="preserve">Required proof</w:t>
            </w:r>
          </w:p>
        </w:tc>
      </w:tr>
      <w:tr>
        <w:tc>
          <w:tcPr/>
          <w:p>
            <w:pPr>
              <w:pStyle w:val="Compact"/>
            </w:pPr>
            <w:r>
              <w:t xml:space="preserve">SG-01</w:t>
            </w:r>
          </w:p>
        </w:tc>
        <w:tc>
          <w:tcPr/>
          <w:p>
            <w:pPr>
              <w:pStyle w:val="Compact"/>
            </w:pPr>
            <w:r>
              <w:t xml:space="preserve">Data classification + minimization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SG-02</w:t>
            </w:r>
          </w:p>
        </w:tc>
        <w:tc>
          <w:tcPr/>
          <w:p>
            <w:pPr>
              <w:pStyle w:val="Compact"/>
            </w:pPr>
            <w:r>
              <w:t xml:space="preserve">Authentication/authorization + tenant boundary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SG-03</w:t>
            </w:r>
          </w:p>
        </w:tc>
        <w:tc>
          <w:tcPr/>
          <w:p>
            <w:pPr>
              <w:pStyle w:val="Compact"/>
            </w:pPr>
            <w:r>
              <w:t xml:space="preserve">Provenance/version/hash</w:t>
            </w:r>
          </w:p>
        </w:tc>
      </w:tr>
      <w:tr>
        <w:tc>
          <w:tcPr/>
          <w:p>
            <w:pPr>
              <w:pStyle w:val="Compact"/>
            </w:pPr>
            <w:r>
              <w:t xml:space="preserve">SG-04</w:t>
            </w:r>
          </w:p>
        </w:tc>
        <w:tc>
          <w:tcPr/>
          <w:p>
            <w:pPr>
              <w:pStyle w:val="Compact"/>
            </w:pPr>
            <w:r>
              <w:t xml:space="preserve">No-signal vs indeterminate vs system-failure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SG-05</w:t>
            </w:r>
          </w:p>
        </w:tc>
        <w:tc>
          <w:tcPr/>
          <w:p>
            <w:pPr>
              <w:pStyle w:val="Compact"/>
            </w:pPr>
            <w:r>
              <w:t xml:space="preserve">Canonical evidence + leakage prevention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SG-06</w:t>
            </w:r>
          </w:p>
        </w:tc>
        <w:tc>
          <w:tcPr/>
          <w:p>
            <w:pPr>
              <w:pStyle w:val="Compact"/>
            </w:pPr>
            <w:r>
              <w:t xml:space="preserve">Decision lineage + replay metadata</w:t>
            </w:r>
          </w:p>
        </w:tc>
      </w:tr>
      <w:tr>
        <w:tc>
          <w:tcPr/>
          <w:p>
            <w:pPr>
              <w:pStyle w:val="Compact"/>
            </w:pPr>
            <w:r>
              <w:t xml:space="preserve">SG-07</w:t>
            </w:r>
          </w:p>
        </w:tc>
        <w:tc>
          <w:tcPr/>
          <w:p>
            <w:pPr>
              <w:pStyle w:val="Compact"/>
            </w:pPr>
            <w:r>
              <w:t xml:space="preserve">Dependency/SCA/security review</w:t>
            </w:r>
          </w:p>
        </w:tc>
      </w:tr>
      <w:tr>
        <w:tc>
          <w:tcPr/>
          <w:p>
            <w:pPr>
              <w:pStyle w:val="Compact"/>
            </w:pPr>
            <w:r>
              <w:t xml:space="preserve">SG-08</w:t>
            </w:r>
          </w:p>
        </w:tc>
        <w:tc>
          <w:tcPr/>
          <w:p>
            <w:pPr>
              <w:pStyle w:val="Compact"/>
            </w:pPr>
            <w:r>
              <w:t xml:space="preserve">Security + regression tests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SG-09</w:t>
            </w:r>
          </w:p>
        </w:tc>
        <w:tc>
          <w:tcPr/>
          <w:p>
            <w:pPr>
              <w:pStyle w:val="Compact"/>
            </w:pPr>
            <w:r>
              <w:t xml:space="preserve">Runtime negative/smoke tests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SG-10</w:t>
            </w:r>
          </w:p>
        </w:tc>
        <w:tc>
          <w:tcPr/>
          <w:p>
            <w:pPr>
              <w:pStyle w:val="Compact"/>
            </w:pPr>
            <w:r>
              <w:t xml:space="preserve">Release review/sign-off</w:t>
            </w:r>
          </w:p>
        </w:tc>
      </w:tr>
    </w:tbl>
    <w:p>
      <w:pPr>
        <w:pStyle w:val="Heading2"/>
      </w:pPr>
      <w:bookmarkStart w:id="13" w:name="_006eae2088528e5018ccbeb0fff3aabd899734e"/>
      <w:r>
        <w:t xml:space="preserve">Definition of recovered</w:t>
      </w:r>
    </w:p>
    <w:p>
      <w:pPr>
        <w:pStyle w:val="FirstParagraph"/>
      </w:pPr>
      <w:r>
        <w:rPr>
          <w:rStyle w:val="VerbatimChar"/>
        </w:rPr>
        <w:t xml:space="preserve">RECOVERED</w:t>
      </w:r>
      <w:r>
        <w:t xml:space="preserve"> </w:t>
      </w:r>
      <w:r>
        <w:t xml:space="preserve">means functional parity</w:t>
      </w:r>
      <w:r>
        <w:t xml:space="preserve"> </w:t>
      </w:r>
      <w:r>
        <w:rPr>
          <w:b/>
          <w:bCs/>
        </w:rPr>
        <w:t xml:space="preserve">and</w:t>
      </w:r>
      <w:r>
        <w:t xml:space="preserve"> </w:t>
      </w:r>
      <w:r>
        <w:t xml:space="preserve">secure canonicalization are both proven. A capability remains</w:t>
      </w:r>
      <w:r>
        <w:t xml:space="preserve"> </w:t>
      </w:r>
      <w:r>
        <w:rPr>
          <w:rStyle w:val="VerbatimChar"/>
        </w:rPr>
        <w:t xml:space="preserve">IMPLEMENTED-DEFERRED</w:t>
      </w:r>
      <w:r>
        <w:t xml:space="preserve"> </w:t>
      </w:r>
      <w:r>
        <w:t xml:space="preserve">if it leaks sensitive data, suppresses failures, violates isolation, or cannot be deterministically replayed.</w:t>
      </w:r>
    </w:p>
    <w:p>
      <w:pPr>
        <w:pStyle w:val="Heading2"/>
      </w:pPr>
      <w:bookmarkStart w:id="14" w:name="_8dc0de01123af523f7512f10320b737304a5c3f"/>
      <w:r>
        <w:t xml:space="preserve">Evidence hierarchy</w:t>
      </w:r>
    </w:p>
    <w:p>
      <w:pPr>
        <w:pStyle w:val="FirstParagraph"/>
      </w:pPr>
      <w:r>
        <w:t xml:space="preserve">Historical implementation proves prior behavior; canonical architecture and runtime define current authority. Recovery preserves useful behavior without reviving duplicate engines, runtimes, evidence contracts, or alternate decision paths.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Security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CAPABILITY RECOVERY SECURE CODING STANDARD</dc:title>
  <dc:creator>HISN Platform</dc:creator>
  <cp:keywords>HISN, FCDOS, financial crime, decision operating system</cp:keywords>
  <dcterms:created xsi:type="dcterms:W3CDTF">2026-10-13T12:56:57Z</dcterms:created>
  <dcterms:modified xsi:type="dcterms:W3CDTF">2026-10-13T12:56:57Z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