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bae89d62695b5fc1d184cfb3abbb45aae7685bd"/>
      <w:r>
        <w:t xml:space="preserve">HISN Data Classification Matrix</w:t>
      </w:r>
    </w:p>
    <w:p>
      <w:pPr>
        <w:pStyle w:val="FirstParagraph"/>
      </w:pPr>
      <w:r>
        <w:rPr>
          <w:b/>
          <w:bCs/>
        </w:rPr>
        <w:t xml:space="preserve">Standard:</w:t>
      </w:r>
      <w:r>
        <w:t xml:space="preserve"> </w:t>
      </w:r>
      <w:r>
        <w:t xml:space="preserve">HISN-BANK-CRYPTO-001</w:t>
      </w:r>
      <w:r>
        <w:br/>
      </w:r>
      <w:r>
        <w:rPr>
          <w:b/>
          <w:bCs/>
        </w:rPr>
        <w:t xml:space="preserve">Date:</w:t>
      </w:r>
      <w:r>
        <w:t xml:space="preserve"> </w:t>
      </w:r>
      <w:r>
        <w:t xml:space="preserve">2026-09-12</w:t>
      </w:r>
      <w:r>
        <w:br/>
      </w:r>
      <w:r>
        <w:rPr>
          <w:b/>
          <w:bCs/>
        </w:rPr>
        <w:t xml:space="preserve">Status:</w:t>
      </w:r>
      <w:r>
        <w:t xml:space="preserve"> </w:t>
      </w:r>
      <w:r>
        <w:t xml:space="preserve">PROPOSED — deployment-specific retention/residency requires data-owner approval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 Type</w:t>
            </w:r>
          </w:p>
        </w:tc>
        <w:tc>
          <w:tcPr/>
          <w:p>
            <w:pPr>
              <w:pStyle w:val="Compact"/>
            </w:pPr>
            <w:r>
              <w:t xml:space="preserve">Class</w:t>
            </w:r>
          </w:p>
        </w:tc>
        <w:tc>
          <w:tcPr/>
          <w:p>
            <w:pPr>
              <w:pStyle w:val="Compact"/>
            </w:pPr>
            <w:r>
              <w:t xml:space="preserve">Storage Baseline</w:t>
            </w:r>
          </w:p>
        </w:tc>
        <w:tc>
          <w:tcPr/>
          <w:p>
            <w:pPr>
              <w:pStyle w:val="Compact"/>
            </w:pPr>
            <w:r>
              <w:t xml:space="preserve">Transit</w:t>
            </w:r>
          </w:p>
        </w:tc>
        <w:tc>
          <w:tcPr/>
          <w:p>
            <w:pPr>
              <w:pStyle w:val="Compact"/>
            </w:pPr>
            <w:r>
              <w:t xml:space="preserve">Retention</w:t>
            </w:r>
          </w:p>
        </w:tc>
        <w:tc>
          <w:tcPr/>
          <w:p>
            <w:pPr>
              <w:pStyle w:val="Compact"/>
            </w:pPr>
            <w:r>
              <w:t xml:space="preserve">Residency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Transactions</w:t>
            </w:r>
          </w:p>
        </w:tc>
        <w:tc>
          <w:tcPr/>
          <w:p>
            <w:pPr>
              <w:pStyle w:val="Compact"/>
            </w:pPr>
            <w:r>
              <w:t xml:space="preserve">SECRET</w:t>
            </w:r>
          </w:p>
        </w:tc>
        <w:tc>
          <w:tcPr/>
          <w:p>
            <w:pPr>
              <w:pStyle w:val="Compact"/>
            </w:pPr>
            <w:r>
              <w:t xml:space="preserve">AES-256-GCM + KMS/HSM</w:t>
            </w:r>
          </w:p>
        </w:tc>
        <w:tc>
          <w:tcPr/>
          <w:p>
            <w:pPr>
              <w:pStyle w:val="Compact"/>
            </w:pPr>
            <w:r>
              <w:t xml:space="preserve">TLS 1.3</w:t>
            </w:r>
          </w:p>
        </w:tc>
        <w:tc>
          <w:tcPr/>
          <w:p>
            <w:pPr>
              <w:pStyle w:val="Compact"/>
            </w:pPr>
            <w:r>
              <w:t xml:space="preserve">Legal/contractual policy</w:t>
            </w:r>
          </w:p>
        </w:tc>
        <w:tc>
          <w:tcPr/>
          <w:p>
            <w:pPr>
              <w:pStyle w:val="Compact"/>
            </w:pPr>
            <w:r>
              <w:t xml:space="preserve">KSA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PII</w:t>
            </w:r>
          </w:p>
        </w:tc>
        <w:tc>
          <w:tcPr/>
          <w:p>
            <w:pPr>
              <w:pStyle w:val="Compact"/>
            </w:pPr>
            <w:r>
              <w:t xml:space="preserve">SECRET</w:t>
            </w:r>
          </w:p>
        </w:tc>
        <w:tc>
          <w:tcPr/>
          <w:p>
            <w:pPr>
              <w:pStyle w:val="Compact"/>
            </w:pPr>
            <w:r>
              <w:t xml:space="preserve">AES-256-GCM + KMS/HSM</w:t>
            </w:r>
          </w:p>
        </w:tc>
        <w:tc>
          <w:tcPr/>
          <w:p>
            <w:pPr>
              <w:pStyle w:val="Compact"/>
            </w:pPr>
            <w:r>
              <w:t xml:space="preserve">TLS 1.3</w:t>
            </w:r>
          </w:p>
        </w:tc>
        <w:tc>
          <w:tcPr/>
          <w:p>
            <w:pPr>
              <w:pStyle w:val="Compact"/>
            </w:pPr>
            <w:r>
              <w:t xml:space="preserve">PDPL/data-owner policy</w:t>
            </w:r>
          </w:p>
        </w:tc>
        <w:tc>
          <w:tcPr/>
          <w:p>
            <w:pPr>
              <w:pStyle w:val="Compact"/>
            </w:pPr>
            <w:r>
              <w:t xml:space="preserve">KSA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DNA</w:t>
            </w:r>
          </w:p>
        </w:tc>
        <w:tc>
          <w:tcPr/>
          <w:p>
            <w:pPr>
              <w:pStyle w:val="Compact"/>
            </w:pPr>
            <w:r>
              <w:t xml:space="preserve">SECRET</w:t>
            </w:r>
          </w:p>
        </w:tc>
        <w:tc>
          <w:tcPr/>
          <w:p>
            <w:pPr>
              <w:pStyle w:val="Compact"/>
            </w:pPr>
            <w:r>
              <w:t xml:space="preserve">AES-256-GCM + KMS/HSM</w:t>
            </w:r>
          </w:p>
        </w:tc>
        <w:tc>
          <w:tcPr/>
          <w:p>
            <w:pPr>
              <w:pStyle w:val="Compact"/>
            </w:pPr>
            <w:r>
              <w:t xml:space="preserve">TLS 1.3</w:t>
            </w:r>
          </w:p>
        </w:tc>
        <w:tc>
          <w:tcPr/>
          <w:p>
            <w:pPr>
              <w:pStyle w:val="Compact"/>
            </w:pPr>
            <w:r>
              <w:t xml:space="preserve">Approved compliance policy</w:t>
            </w:r>
          </w:p>
        </w:tc>
        <w:tc>
          <w:tcPr/>
          <w:p>
            <w:pPr>
              <w:pStyle w:val="Compact"/>
            </w:pPr>
            <w:r>
              <w:t xml:space="preserve">KSA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Events</w:t>
            </w:r>
          </w:p>
        </w:tc>
        <w:tc>
          <w:tcPr/>
          <w:p>
            <w:pPr>
              <w:pStyle w:val="Compact"/>
            </w:pPr>
            <w:r>
              <w:t xml:space="preserve">RESTRICTED</w:t>
            </w:r>
          </w:p>
        </w:tc>
        <w:tc>
          <w:tcPr/>
          <w:p>
            <w:pPr>
              <w:pStyle w:val="Compact"/>
            </w:pPr>
            <w:r>
              <w:t xml:space="preserve">Authenticated encryption</w:t>
            </w:r>
          </w:p>
        </w:tc>
        <w:tc>
          <w:tcPr/>
          <w:p>
            <w:pPr>
              <w:pStyle w:val="Compact"/>
            </w:pPr>
            <w:r>
              <w:t xml:space="preserve">TLS 1.3</w:t>
            </w:r>
          </w:p>
        </w:tc>
        <w:tc>
          <w:tcPr/>
          <w:p>
            <w:pPr>
              <w:pStyle w:val="Compact"/>
            </w:pPr>
            <w:r>
              <w:t xml:space="preserve">Approved audit policy</w:t>
            </w:r>
          </w:p>
        </w:tc>
        <w:tc>
          <w:tcPr/>
          <w:p>
            <w:pPr>
              <w:pStyle w:val="Compact"/>
            </w:pPr>
            <w:r>
              <w:t xml:space="preserve">KSA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Model Artifacts</w:t>
            </w:r>
          </w:p>
        </w:tc>
        <w:tc>
          <w:tcPr/>
          <w:p>
            <w:pPr>
              <w:pStyle w:val="Compact"/>
            </w:pPr>
            <w:r>
              <w:t xml:space="preserve">SECRET</w:t>
            </w:r>
          </w:p>
        </w:tc>
        <w:tc>
          <w:tcPr/>
          <w:p>
            <w:pPr>
              <w:pStyle w:val="Compact"/>
            </w:pPr>
            <w:r>
              <w:t xml:space="preserve">AES-256-GCM + trusted signing</w:t>
            </w:r>
          </w:p>
        </w:tc>
        <w:tc>
          <w:tcPr/>
          <w:p>
            <w:pPr>
              <w:pStyle w:val="Compact"/>
            </w:pPr>
            <w:r>
              <w:t xml:space="preserve">TLS 1.3</w:t>
            </w:r>
          </w:p>
        </w:tc>
        <w:tc>
          <w:tcPr/>
          <w:p>
            <w:pPr>
              <w:pStyle w:val="Compact"/>
            </w:pPr>
            <w:r>
              <w:t xml:space="preserve">Artifact lifecycle</w:t>
            </w:r>
          </w:p>
        </w:tc>
        <w:tc>
          <w:tcPr/>
          <w:p>
            <w:pPr>
              <w:pStyle w:val="Compact"/>
            </w:pPr>
            <w:r>
              <w:t xml:space="preserve">KSA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</w:t>
            </w:r>
          </w:p>
        </w:tc>
        <w:tc>
          <w:tcPr/>
          <w:p>
            <w:pPr>
              <w:pStyle w:val="Compact"/>
            </w:pPr>
            <w:r>
              <w:t xml:space="preserve">RESTRICTED</w:t>
            </w:r>
          </w:p>
        </w:tc>
        <w:tc>
          <w:tcPr/>
          <w:p>
            <w:pPr>
              <w:pStyle w:val="Compact"/>
            </w:pPr>
            <w:r>
              <w:t xml:space="preserve">Authenticated encryption</w:t>
            </w:r>
          </w:p>
        </w:tc>
        <w:tc>
          <w:tcPr/>
          <w:p>
            <w:pPr>
              <w:pStyle w:val="Compact"/>
            </w:pPr>
            <w:r>
              <w:t xml:space="preserve">TLS 1.3</w:t>
            </w:r>
          </w:p>
        </w:tc>
        <w:tc>
          <w:tcPr/>
          <w:p>
            <w:pPr>
              <w:pStyle w:val="Compact"/>
            </w:pPr>
            <w:r>
              <w:t xml:space="preserve">Evidence/audit policy</w:t>
            </w:r>
          </w:p>
        </w:tc>
        <w:tc>
          <w:tcPr/>
          <w:p>
            <w:pPr>
              <w:pStyle w:val="Compact"/>
            </w:pPr>
            <w:r>
              <w:t xml:space="preserve">KSA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Tenant Config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  <w:tc>
          <w:tcPr/>
          <w:p>
            <w:pPr>
              <w:pStyle w:val="Compact"/>
            </w:pPr>
            <w:r>
              <w:t xml:space="preserve">Authenticated encryption</w:t>
            </w:r>
          </w:p>
        </w:tc>
        <w:tc>
          <w:tcPr/>
          <w:p>
            <w:pPr>
              <w:pStyle w:val="Compact"/>
            </w:pPr>
            <w:r>
              <w:t xml:space="preserve">TLS 1.3</w:t>
            </w:r>
          </w:p>
        </w:tc>
        <w:tc>
          <w:tcPr/>
          <w:p>
            <w:pPr>
              <w:pStyle w:val="Compact"/>
            </w:pPr>
            <w:r>
              <w:t xml:space="preserve">Tenant lifecycle</w:t>
            </w:r>
          </w:p>
        </w:tc>
        <w:tc>
          <w:tcPr/>
          <w:p>
            <w:pPr>
              <w:pStyle w:val="Compact"/>
            </w:pPr>
            <w:r>
              <w:t xml:space="preserve">KSA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Telemetry</w:t>
            </w:r>
          </w:p>
        </w:tc>
        <w:tc>
          <w:tcPr/>
          <w:p>
            <w:pPr>
              <w:pStyle w:val="Compact"/>
            </w:pPr>
            <w:r>
              <w:t xml:space="preserve">RESTRICTED</w:t>
            </w:r>
          </w:p>
        </w:tc>
        <w:tc>
          <w:tcPr/>
          <w:p>
            <w:pPr>
              <w:pStyle w:val="Compact"/>
            </w:pPr>
            <w:r>
              <w:t xml:space="preserve">Authenticated encryption</w:t>
            </w:r>
          </w:p>
        </w:tc>
        <w:tc>
          <w:tcPr/>
          <w:p>
            <w:pPr>
              <w:pStyle w:val="Compact"/>
            </w:pPr>
            <w:r>
              <w:t xml:space="preserve">TLS 1.3</w:t>
            </w:r>
          </w:p>
        </w:tc>
        <w:tc>
          <w:tcPr/>
          <w:p>
            <w:pPr>
              <w:pStyle w:val="Compact"/>
            </w:pPr>
            <w:r>
              <w:t xml:space="preserve">Security monitoring policy</w:t>
            </w:r>
          </w:p>
        </w:tc>
        <w:tc>
          <w:tcPr/>
          <w:p>
            <w:pPr>
              <w:pStyle w:val="Compact"/>
            </w:pPr>
            <w:r>
              <w:t xml:space="preserve">KSA default</w:t>
            </w:r>
          </w:p>
        </w:tc>
      </w:tr>
    </w:tbl>
    <w:p>
      <w:pPr>
        <w:pStyle w:val="Heading2"/>
      </w:pPr>
      <w:bookmarkStart w:id="10" w:name="_8d8b15dff60a36e7cf48236182175390745d3fb"/>
      <w:r>
        <w:t xml:space="preserve">Classification rules</w:t>
      </w:r>
    </w:p>
    <w:p>
      <w:pPr>
        <w:pStyle w:val="Compact"/>
        <w:numPr>
          <w:ilvl w:val="0"/>
          <w:numId w:val="1001"/>
        </w:numPr>
      </w:pPr>
      <w:r>
        <w:t xml:space="preserve">Classification is based on sensitivity and processing purpose, not merely table name.</w:t>
      </w:r>
    </w:p>
    <w:p>
      <w:pPr>
        <w:pStyle w:val="Compact"/>
        <w:numPr>
          <w:ilvl w:val="0"/>
          <w:numId w:val="1001"/>
        </w:numPr>
      </w:pPr>
      <w:r>
        <w:t xml:space="preserve">More restrictive controls may be applied where a risk assessment or customer contract requires them.</w:t>
      </w:r>
    </w:p>
    <w:p>
      <w:pPr>
        <w:pStyle w:val="Compact"/>
        <w:numPr>
          <w:ilvl w:val="0"/>
          <w:numId w:val="1001"/>
        </w:numPr>
      </w:pPr>
      <w:r>
        <w:t xml:space="preserve">Residency is a deployment control. This document establishes a KSA-default target, not a blanket legal determination for every deployment.</w:t>
      </w:r>
    </w:p>
    <w:p>
      <w:pPr>
        <w:pStyle w:val="Compact"/>
        <w:numPr>
          <w:ilvl w:val="0"/>
          <w:numId w:val="1001"/>
        </w:numPr>
      </w:pPr>
      <w:r>
        <w:t xml:space="preserve">Retention periods are governed by the applicable legal, regulatory, contractual and approved internal policy; this matrix does not invent universal retention periods.</w:t>
      </w:r>
    </w:p>
    <w:p>
      <w:pPr>
        <w:pStyle w:val="Compact"/>
        <w:numPr>
          <w:ilvl w:val="0"/>
          <w:numId w:val="1001"/>
        </w:numPr>
      </w:pPr>
      <w:r>
        <w:t xml:space="preserve">Evidence is data-minimized and must not become a copy of transaction or customer source data.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CLASSIFICATION MATRIX</dc:title>
  <dc:creator>HISN Platform</dc:creator>
  <cp:keywords>HISN, FCDOS, financial crime, decision operating system</cp:keywords>
  <dcterms:created xsi:type="dcterms:W3CDTF">2026-10-13T12:56:55Z</dcterms:created>
  <dcterms:modified xsi:type="dcterms:W3CDTF">2026-10-13T12:56:55Z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