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9" w:name="_e29dea950b78ce20a49765530f353247500113c"/>
      <w:r>
        <w:t xml:space="preserve">HISN-BANK-CRYPTO-001</w:t>
      </w:r>
    </w:p>
    <w:p>
      <w:pPr>
        <w:pStyle w:val="Heading2"/>
      </w:pPr>
      <w:bookmarkStart w:id="10" w:name="_583c8943a1f594c62ef45ad936f2775522c7ae6"/>
      <w:r>
        <w:t xml:space="preserve">Saudi Banking Cryptographic Security Standard v1.0</w:t>
      </w:r>
    </w:p>
    <w:p>
      <w:pPr>
        <w:pStyle w:val="FirstParagraph"/>
      </w:pPr>
      <w:r>
        <w:rPr>
          <w:b/>
          <w:bCs/>
        </w:rPr>
        <w:t xml:space="preserve">Date:</w:t>
      </w:r>
      <w:r>
        <w:t xml:space="preserve"> </w:t>
      </w:r>
      <w:r>
        <w:t xml:space="preserve">2026-09-12</w:t>
      </w:r>
      <w:r>
        <w:br/>
      </w:r>
      <w:r>
        <w:rPr>
          <w:b/>
          <w:bCs/>
        </w:rPr>
        <w:t xml:space="preserve">Classification:</w:t>
      </w:r>
      <w:r>
        <w:t xml:space="preserve"> </w:t>
      </w:r>
      <w:r>
        <w:t xml:space="preserve">RESTRICTED</w:t>
      </w:r>
      <w:r>
        <w:br/>
      </w:r>
      <w:r>
        <w:rPr>
          <w:b/>
          <w:bCs/>
        </w:rPr>
        <w:t xml:space="preserve">Owner:</w:t>
      </w:r>
      <w:r>
        <w:t xml:space="preserve"> </w:t>
      </w:r>
      <w:r>
        <w:t xml:space="preserve">Founder / CISO gate</w:t>
      </w:r>
      <w:r>
        <w:br/>
      </w:r>
      <w:r>
        <w:rPr>
          <w:b/>
          <w:bCs/>
        </w:rPr>
        <w:t xml:space="preserve">Status:</w:t>
      </w:r>
      <w:r>
        <w:t xml:space="preserve"> </w:t>
      </w:r>
      <w:r>
        <w:t xml:space="preserve">PROPOSED — implementation baseline; regulatory applicability must be reviewed per deployment</w:t>
      </w:r>
    </w:p>
    <w:p>
      <w:pPr>
        <w:pStyle w:val="Heading2"/>
      </w:pPr>
      <w:bookmarkStart w:id="11" w:name="_99f6153a592bcb5c53182be14bdeb6bd7ee91ec"/>
      <w:r>
        <w:t xml:space="preserve">1. Authority Framework</w:t>
      </w:r>
    </w:p>
    <w:p>
      <w:pPr>
        <w:pStyle w:val="FirstParagraph"/>
      </w:pPr>
      <w:r>
        <w:t xml:space="preserve">This internal standard is aligned to the applicable Saudi control frameworks:</w:t>
      </w:r>
    </w:p>
    <w:p>
      <w:pPr>
        <w:pStyle w:val="Compact"/>
        <w:numPr>
          <w:ilvl w:val="0"/>
          <w:numId w:val="1001"/>
        </w:numPr>
      </w:pPr>
      <w:r>
        <w:t xml:space="preserve">NCA NCS-2:2025</w:t>
      </w:r>
    </w:p>
    <w:p>
      <w:pPr>
        <w:pStyle w:val="Compact"/>
        <w:numPr>
          <w:ilvl w:val="0"/>
          <w:numId w:val="1001"/>
        </w:numPr>
      </w:pPr>
      <w:r>
        <w:t xml:space="preserve">NCA ECC-2:2024</w:t>
      </w:r>
    </w:p>
    <w:p>
      <w:pPr>
        <w:pStyle w:val="Compact"/>
        <w:numPr>
          <w:ilvl w:val="0"/>
          <w:numId w:val="1001"/>
        </w:numPr>
      </w:pPr>
      <w:r>
        <w:t xml:space="preserve">NCA DCC-1:2022</w:t>
      </w:r>
    </w:p>
    <w:p>
      <w:pPr>
        <w:pStyle w:val="Compact"/>
        <w:numPr>
          <w:ilvl w:val="0"/>
          <w:numId w:val="1001"/>
        </w:numPr>
      </w:pPr>
      <w:r>
        <w:t xml:space="preserve">NCA CCC-2:2024 where cloud services are applicable</w:t>
      </w:r>
    </w:p>
    <w:p>
      <w:pPr>
        <w:pStyle w:val="Compact"/>
        <w:numPr>
          <w:ilvl w:val="0"/>
          <w:numId w:val="1001"/>
        </w:numPr>
      </w:pPr>
      <w:r>
        <w:t xml:space="preserve">SAMA Cyber Security Framework and applicable Cyber Resilience requirements</w:t>
      </w:r>
    </w:p>
    <w:p>
      <w:pPr>
        <w:pStyle w:val="Compact"/>
        <w:numPr>
          <w:ilvl w:val="0"/>
          <w:numId w:val="1001"/>
        </w:numPr>
      </w:pPr>
      <w:r>
        <w:t xml:space="preserve">Saudi PDPL and SDAIA requirements</w:t>
      </w:r>
    </w:p>
    <w:p>
      <w:pPr>
        <w:pStyle w:val="Compact"/>
        <w:numPr>
          <w:ilvl w:val="0"/>
          <w:numId w:val="1001"/>
        </w:numPr>
      </w:pPr>
      <w:r>
        <w:t xml:space="preserve">CST Cloud Computing Regulatory Framework where applicable</w:t>
      </w:r>
    </w:p>
    <w:p>
      <w:pPr>
        <w:pStyle w:val="FirstParagraph"/>
      </w:pPr>
      <w:r>
        <w:rPr>
          <w:b/>
          <w:bCs/>
        </w:rPr>
        <w:t xml:space="preserve">Rule:</w:t>
      </w:r>
      <w:r>
        <w:t xml:space="preserve"> </w:t>
      </w:r>
      <w:r>
        <w:t xml:space="preserve">Regulatory text defines the minimum applicable control. Where multiple implementation options are permitted, HISN selects the stronger option when justified by risk and operational feasibility. This document is an engineering standard, not regulatory certification.</w:t>
      </w:r>
    </w:p>
    <w:p>
      <w:pPr>
        <w:pStyle w:val="Heading2"/>
      </w:pPr>
      <w:bookmarkStart w:id="12" w:name="_5dac228deae15c00b93b208e4abde648e6cb6c9"/>
      <w:r>
        <w:t xml:space="preserve">2. Data Classification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Level</w:t>
            </w:r>
          </w:p>
        </w:tc>
        <w:tc>
          <w:tcPr/>
          <w:p>
            <w:pPr>
              <w:pStyle w:val="Compact"/>
            </w:pPr>
            <w:r>
              <w:t xml:space="preserve">Examples</w:t>
            </w:r>
          </w:p>
        </w:tc>
        <w:tc>
          <w:tcPr/>
          <w:p>
            <w:pPr>
              <w:pStyle w:val="Compact"/>
            </w:pPr>
            <w:r>
              <w:t xml:space="preserve">Baseline protection</w:t>
            </w:r>
          </w:p>
        </w:tc>
      </w:tr>
      <w:tr>
        <w:tc>
          <w:tcPr/>
          <w:p>
            <w:pPr>
              <w:pStyle w:val="Compact"/>
            </w:pPr>
            <w:r>
              <w:t xml:space="preserve">PUBLIC</w:t>
            </w:r>
          </w:p>
        </w:tc>
        <w:tc>
          <w:tcPr/>
          <w:p>
            <w:pPr>
              <w:pStyle w:val="Compact"/>
            </w:pPr>
            <w:r>
              <w:t xml:space="preserve">public branding, public documentation</w:t>
            </w:r>
          </w:p>
        </w:tc>
        <w:tc>
          <w:tcPr/>
          <w:p>
            <w:pPr>
              <w:pStyle w:val="Compact"/>
            </w:pPr>
            <w:r>
              <w:t xml:space="preserve">integrity + TLS where transported</w:t>
            </w:r>
          </w:p>
        </w:tc>
      </w:tr>
      <w:tr>
        <w:tc>
          <w:tcPr/>
          <w:p>
            <w:pPr>
              <w:pStyle w:val="Compact"/>
            </w:pPr>
            <w:r>
              <w:t xml:space="preserve">RESTRICTED</w:t>
            </w:r>
          </w:p>
        </w:tc>
        <w:tc>
          <w:tcPr/>
          <w:p>
            <w:pPr>
              <w:pStyle w:val="Compact"/>
            </w:pPr>
            <w:r>
              <w:t xml:space="preserve">operational metadata, non-sensitive evidence</w:t>
            </w:r>
          </w:p>
        </w:tc>
        <w:tc>
          <w:tcPr/>
          <w:p>
            <w:pPr>
              <w:pStyle w:val="Compact"/>
            </w:pPr>
            <w:r>
              <w:t xml:space="preserve">authenticated encryption; MODERATE profile unless risk requires stronger</w:t>
            </w:r>
          </w:p>
        </w:tc>
      </w:tr>
      <w:tr>
        <w:tc>
          <w:tcPr/>
          <w:p>
            <w:pPr>
              <w:pStyle w:val="Compact"/>
            </w:pPr>
            <w:r>
              <w:t xml:space="preserve">CONFIDENTIAL</w:t>
            </w:r>
          </w:p>
        </w:tc>
        <w:tc>
          <w:tcPr/>
          <w:p>
            <w:pPr>
              <w:pStyle w:val="Compact"/>
            </w:pPr>
            <w:r>
              <w:t xml:space="preserve">tenant configuration, derived financial features, internal telemetry</w:t>
            </w:r>
          </w:p>
        </w:tc>
        <w:tc>
          <w:tcPr/>
          <w:p>
            <w:pPr>
              <w:pStyle w:val="Compact"/>
            </w:pPr>
            <w:r>
              <w:t xml:space="preserve">authenticated encryption; MODERATE/ADVANCED by data/system risk</w:t>
            </w:r>
          </w:p>
        </w:tc>
      </w:tr>
      <w:tr>
        <w:tc>
          <w:tcPr/>
          <w:p>
            <w:pPr>
              <w:pStyle w:val="Compact"/>
            </w:pPr>
            <w:r>
              <w:t xml:space="preserve">SECRET</w:t>
            </w:r>
          </w:p>
        </w:tc>
        <w:tc>
          <w:tcPr/>
          <w:p>
            <w:pPr>
              <w:pStyle w:val="Compact"/>
            </w:pPr>
            <w:r>
              <w:t xml:space="preserve">transaction data, PII, Decision DNA, model artifacts</w:t>
            </w:r>
          </w:p>
        </w:tc>
        <w:tc>
          <w:tcPr/>
          <w:p>
            <w:pPr>
              <w:pStyle w:val="Compact"/>
            </w:pPr>
            <w:r>
              <w:t xml:space="preserve">AES-256-GCM and ADVANCED cryptographic profile where NCS applicability requires it</w:t>
            </w:r>
          </w:p>
        </w:tc>
      </w:tr>
    </w:tbl>
    <w:p>
      <w:pPr>
        <w:pStyle w:val="FirstParagraph"/>
      </w:pPr>
      <w:r>
        <w:rPr>
          <w:b/>
          <w:bCs/>
        </w:rPr>
        <w:t xml:space="preserve">Rule:</w:t>
      </w:r>
      <w:r>
        <w:t xml:space="preserve"> </w:t>
      </w:r>
      <w:r>
        <w:t xml:space="preserve">Classification determines encryption profile, key-management requirements, retention, access control and residency. Classification is not a substitute for a formal data inventory.</w:t>
      </w:r>
    </w:p>
    <w:p>
      <w:pPr>
        <w:pStyle w:val="Heading2"/>
      </w:pPr>
      <w:bookmarkStart w:id="13" w:name="_b106553615105d3dbbb82506832e22e21e3f5a4"/>
      <w:r>
        <w:t xml:space="preserve">3. HISN Algorithm Baseline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Use Case</w:t>
            </w:r>
          </w:p>
        </w:tc>
        <w:tc>
          <w:tcPr/>
          <w:p>
            <w:pPr>
              <w:pStyle w:val="Compact"/>
            </w:pPr>
            <w:r>
              <w:t xml:space="preserve">HISN baseline</w:t>
            </w:r>
          </w:p>
        </w:tc>
        <w:tc>
          <w:tcPr/>
          <w:p>
            <w:pPr>
              <w:pStyle w:val="Compact"/>
            </w:pPr>
            <w:r>
              <w:t xml:space="preserve">Notes</w:t>
            </w:r>
          </w:p>
        </w:tc>
      </w:tr>
      <w:tr>
        <w:tc>
          <w:tcPr/>
          <w:p>
            <w:pPr>
              <w:pStyle w:val="Compact"/>
            </w:pPr>
            <w:r>
              <w:t xml:space="preserve">High-sensitivity symmetric encryption</w:t>
            </w:r>
          </w:p>
        </w:tc>
        <w:tc>
          <w:tcPr/>
          <w:p>
            <w:pPr>
              <w:pStyle w:val="Compact"/>
            </w:pPr>
            <w:r>
              <w:t xml:space="preserve">AES-256-GCM</w:t>
            </w:r>
          </w:p>
        </w:tc>
        <w:tc>
          <w:tcPr/>
          <w:p>
            <w:pPr>
              <w:pStyle w:val="Compact"/>
            </w:pPr>
            <w:r>
              <w:t xml:space="preserve">unique 96-bit nonce per key use; authenticated encryption</w:t>
            </w:r>
          </w:p>
        </w:tc>
      </w:tr>
      <w:tr>
        <w:tc>
          <w:tcPr/>
          <w:p>
            <w:pPr>
              <w:pStyle w:val="Compact"/>
            </w:pPr>
            <w:r>
              <w:t xml:space="preserve">General integrity</w:t>
            </w:r>
          </w:p>
        </w:tc>
        <w:tc>
          <w:tcPr/>
          <w:p>
            <w:pPr>
              <w:pStyle w:val="Compact"/>
            </w:pPr>
            <w:r>
              <w:t xml:space="preserve">SHA-256 or stronger approved digest</w:t>
            </w:r>
          </w:p>
        </w:tc>
        <w:tc>
          <w:tcPr/>
          <w:p>
            <w:pPr>
              <w:pStyle w:val="Compact"/>
            </w:pPr>
            <w:r>
              <w:t xml:space="preserve">only where the applicable security level permits it</w:t>
            </w:r>
          </w:p>
        </w:tc>
      </w:tr>
      <w:tr>
        <w:tc>
          <w:tcPr/>
          <w:p>
            <w:pPr>
              <w:pStyle w:val="Compact"/>
            </w:pPr>
            <w:r>
              <w:t xml:space="preserve">High-value artifact integrity</w:t>
            </w:r>
          </w:p>
        </w:tc>
        <w:tc>
          <w:tcPr/>
          <w:p>
            <w:pPr>
              <w:pStyle w:val="Compact"/>
            </w:pPr>
            <w:r>
              <w:t xml:space="preserve">SHA3-512</w:t>
            </w:r>
          </w:p>
        </w:tc>
        <w:tc>
          <w:tcPr/>
          <w:p>
            <w:pPr>
              <w:pStyle w:val="Compact"/>
            </w:pPr>
            <w:r>
              <w:t xml:space="preserve">used for model/artifact provenance where selected by policy</w:t>
            </w:r>
          </w:p>
        </w:tc>
      </w:tr>
      <w:tr>
        <w:tc>
          <w:tcPr/>
          <w:p>
            <w:pPr>
              <w:pStyle w:val="Compact"/>
            </w:pPr>
            <w:r>
              <w:t xml:space="preserve">High-value digital signature</w:t>
            </w:r>
          </w:p>
        </w:tc>
        <w:tc>
          <w:tcPr/>
          <w:p>
            <w:pPr>
              <w:pStyle w:val="Compact"/>
            </w:pPr>
            <w:r>
              <w:t xml:space="preserve">ECDSA P-521 or approved equivalent</w:t>
            </w:r>
          </w:p>
        </w:tc>
        <w:tc>
          <w:tcPr/>
          <w:p>
            <w:pPr>
              <w:pStyle w:val="Compact"/>
            </w:pPr>
            <w:r>
              <w:t xml:space="preserve">signing key held by trusted KMS/HSM boundary</w:t>
            </w:r>
          </w:p>
        </w:tc>
      </w:tr>
      <w:tr>
        <w:tc>
          <w:tcPr/>
          <w:p>
            <w:pPr>
              <w:pStyle w:val="Compact"/>
            </w:pPr>
            <w:r>
              <w:t xml:space="preserve">General digital signature</w:t>
            </w:r>
          </w:p>
        </w:tc>
        <w:tc>
          <w:tcPr/>
          <w:p>
            <w:pPr>
              <w:pStyle w:val="Compact"/>
            </w:pPr>
            <w:r>
              <w:t xml:space="preserve">approved EC profile</w:t>
            </w:r>
          </w:p>
        </w:tc>
        <w:tc>
          <w:tcPr/>
          <w:p>
            <w:pPr>
              <w:pStyle w:val="Compact"/>
            </w:pPr>
            <w:r>
              <w:t xml:space="preserve">selected by classification and interoperability requirements</w:t>
            </w:r>
          </w:p>
        </w:tc>
      </w:tr>
      <w:tr>
        <w:tc>
          <w:tcPr/>
          <w:p>
            <w:pPr>
              <w:pStyle w:val="Compact"/>
            </w:pPr>
            <w:r>
              <w:t xml:space="preserve">KDF</w:t>
            </w:r>
          </w:p>
        </w:tc>
        <w:tc>
          <w:tcPr/>
          <w:p>
            <w:pPr>
              <w:pStyle w:val="Compact"/>
            </w:pPr>
            <w:r>
              <w:t xml:space="preserve">HKDF with approved hash</w:t>
            </w:r>
          </w:p>
        </w:tc>
        <w:tc>
          <w:tcPr/>
          <w:p>
            <w:pPr>
              <w:pStyle w:val="Compact"/>
            </w:pPr>
            <w:r>
              <w:t xml:space="preserve">profile selected by data/system security level</w:t>
            </w:r>
          </w:p>
        </w:tc>
      </w:tr>
      <w:tr>
        <w:tc>
          <w:tcPr/>
          <w:p>
            <w:pPr>
              <w:pStyle w:val="Compact"/>
            </w:pPr>
            <w:r>
              <w:t xml:space="preserve">Key wrap</w:t>
            </w:r>
          </w:p>
        </w:tc>
        <w:tc>
          <w:tcPr/>
          <w:p>
            <w:pPr>
              <w:pStyle w:val="Compact"/>
            </w:pPr>
            <w:r>
              <w:t xml:space="preserve">approved AES-KW/KWP profile</w:t>
            </w:r>
          </w:p>
        </w:tc>
        <w:tc>
          <w:tcPr/>
          <w:p>
            <w:pPr>
              <w:pStyle w:val="Compact"/>
            </w:pPr>
            <w:r>
              <w:t xml:space="preserve">NIST SP 800-38F compatible implementation preferred</w:t>
            </w:r>
          </w:p>
        </w:tc>
      </w:tr>
      <w:tr>
        <w:tc>
          <w:tcPr/>
          <w:p>
            <w:pPr>
              <w:pStyle w:val="Compact"/>
            </w:pPr>
            <w:r>
              <w:t xml:space="preserve">Transport</w:t>
            </w:r>
          </w:p>
        </w:tc>
        <w:tc>
          <w:tcPr/>
          <w:p>
            <w:pPr>
              <w:pStyle w:val="Compact"/>
            </w:pPr>
            <w:r>
              <w:t xml:space="preserve">TLS 1.3</w:t>
            </w:r>
          </w:p>
        </w:tc>
        <w:tc>
          <w:tcPr/>
          <w:p>
            <w:pPr>
              <w:pStyle w:val="Compact"/>
            </w:pPr>
            <w:r>
              <w:t xml:space="preserve">mandatory for new sensitive production interfaces unless an approved interoperability exception exists</w:t>
            </w:r>
          </w:p>
        </w:tc>
      </w:tr>
    </w:tbl>
    <w:p>
      <w:pPr>
        <w:pStyle w:val="FirstParagraph"/>
      </w:pPr>
      <w:r>
        <w:rPr>
          <w:b/>
          <w:bCs/>
        </w:rPr>
        <w:t xml:space="preserve">Prohibited engineering patterns:</w:t>
      </w:r>
      <w:r>
        <w:t xml:space="preserve"> </w:t>
      </w:r>
      <w:r>
        <w:t xml:space="preserve">custom cryptography, ECB mode, plaintext key material in source/configuration, unauthenticated encryption for sensitive data, reused GCM nonces, and insecure executable deserialization of untrusted artifacts.</w:t>
      </w:r>
    </w:p>
    <w:p>
      <w:pPr>
        <w:pStyle w:val="Heading2"/>
      </w:pPr>
      <w:bookmarkStart w:id="14" w:name="_2b14bb504599662b1107a91395cc21108b02e4a"/>
      <w:r>
        <w:t xml:space="preserve">4. Key Management</w:t>
      </w:r>
    </w:p>
    <w:p>
      <w:pPr>
        <w:pStyle w:val="Heading3"/>
      </w:pPr>
      <w:bookmarkStart w:id="15" w:name="_storage"/>
      <w:r>
        <w:t xml:space="preserve">Storage</w:t>
      </w:r>
    </w:p>
    <w:p>
      <w:pPr>
        <w:pStyle w:val="Compact"/>
        <w:numPr>
          <w:ilvl w:val="0"/>
          <w:numId w:val="1002"/>
        </w:numPr>
      </w:pPr>
      <w:r>
        <w:t xml:space="preserve">KMS/HSM-backed key storage for sensitive production keys.</w:t>
      </w:r>
    </w:p>
    <w:p>
      <w:pPr>
        <w:pStyle w:val="Compact"/>
        <w:numPr>
          <w:ilvl w:val="0"/>
          <w:numId w:val="1002"/>
        </w:numPr>
      </w:pPr>
      <w:r>
        <w:t xml:space="preserve">Sensitive private keys non-exportable where supported.</w:t>
      </w:r>
    </w:p>
    <w:p>
      <w:pPr>
        <w:pStyle w:val="Compact"/>
        <w:numPr>
          <w:ilvl w:val="0"/>
          <w:numId w:val="1002"/>
        </w:numPr>
      </w:pPr>
      <w:r>
        <w:t xml:space="preserve">Envelope encryption for protected artifacts and large data objects.</w:t>
      </w:r>
    </w:p>
    <w:p>
      <w:pPr>
        <w:pStyle w:val="Compact"/>
        <w:numPr>
          <w:ilvl w:val="0"/>
          <w:numId w:val="1002"/>
        </w:numPr>
      </w:pPr>
      <w:r>
        <w:t xml:space="preserve">Application code never contains production key material.</w:t>
      </w:r>
    </w:p>
    <w:p>
      <w:pPr>
        <w:pStyle w:val="Heading3"/>
      </w:pPr>
      <w:bookmarkStart w:id="16" w:name="_fdb4e5fb552f63eea5bfbccffc283f22d51f262"/>
      <w:r>
        <w:t xml:space="preserve">Internal rotation targets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Key Type</w:t>
            </w:r>
          </w:p>
        </w:tc>
        <w:tc>
          <w:tcPr/>
          <w:p>
            <w:pPr>
              <w:pStyle w:val="Compact"/>
            </w:pPr>
            <w:r>
              <w:t xml:space="preserve">HISN target</w:t>
            </w:r>
          </w:p>
        </w:tc>
      </w:tr>
      <w:tr>
        <w:tc>
          <w:tcPr/>
          <w:p>
            <w:pPr>
              <w:pStyle w:val="Compact"/>
            </w:pPr>
            <w:r>
              <w:t xml:space="preserve">DEK</w:t>
            </w:r>
          </w:p>
        </w:tc>
        <w:tc>
          <w:tcPr/>
          <w:p>
            <w:pPr>
              <w:pStyle w:val="Compact"/>
            </w:pPr>
            <w:r>
              <w:t xml:space="preserve">90 days or earlier on risk/event</w:t>
            </w:r>
          </w:p>
        </w:tc>
      </w:tr>
      <w:tr>
        <w:tc>
          <w:tcPr/>
          <w:p>
            <w:pPr>
              <w:pStyle w:val="Compact"/>
            </w:pPr>
            <w:r>
              <w:t xml:space="preserve">KEK</w:t>
            </w:r>
          </w:p>
        </w:tc>
        <w:tc>
          <w:tcPr/>
          <w:p>
            <w:pPr>
              <w:pStyle w:val="Compact"/>
            </w:pPr>
            <w:r>
              <w:t xml:space="preserve">1 year or according to provider/control policy</w:t>
            </w:r>
          </w:p>
        </w:tc>
      </w:tr>
      <w:tr>
        <w:tc>
          <w:tcPr/>
          <w:p>
            <w:pPr>
              <w:pStyle w:val="Compact"/>
            </w:pPr>
            <w:r>
              <w:t xml:space="preserve">Signing keys</w:t>
            </w:r>
          </w:p>
        </w:tc>
        <w:tc>
          <w:tcPr/>
          <w:p>
            <w:pPr>
              <w:pStyle w:val="Compact"/>
            </w:pPr>
            <w:r>
              <w:t xml:space="preserve">1 year target</w:t>
            </w:r>
          </w:p>
        </w:tc>
      </w:tr>
      <w:tr>
        <w:tc>
          <w:tcPr/>
          <w:p>
            <w:pPr>
              <w:pStyle w:val="Compact"/>
            </w:pPr>
            <w:r>
              <w:t xml:space="preserve">TLS certificates</w:t>
            </w:r>
          </w:p>
        </w:tc>
        <w:tc>
          <w:tcPr/>
          <w:p>
            <w:pPr>
              <w:pStyle w:val="Compact"/>
            </w:pPr>
            <w:r>
              <w:t xml:space="preserve">automated short lifecycle with renewal before expiry</w:t>
            </w:r>
          </w:p>
        </w:tc>
      </w:tr>
      <w:tr>
        <w:tc>
          <w:tcPr/>
          <w:p>
            <w:pPr>
              <w:pStyle w:val="Compact"/>
            </w:pPr>
            <w:r>
              <w:t xml:space="preserve">Root CA</w:t>
            </w:r>
          </w:p>
        </w:tc>
        <w:tc>
          <w:tcPr/>
          <w:p>
            <w:pPr>
              <w:pStyle w:val="Compact"/>
            </w:pPr>
            <w:r>
              <w:t xml:space="preserve">controlled long lifecycle with documented review</w:t>
            </w:r>
          </w:p>
        </w:tc>
      </w:tr>
    </w:tbl>
    <w:p>
      <w:pPr>
        <w:pStyle w:val="FirstParagraph"/>
      </w:pPr>
      <w:r>
        <w:t xml:space="preserve">Rotation intervals are HISN internal targets, not claims about universal regulatory mandates.</w:t>
      </w:r>
    </w:p>
    <w:p>
      <w:pPr>
        <w:pStyle w:val="Heading3"/>
      </w:pPr>
      <w:bookmarkStart w:id="17" w:name="_access"/>
      <w:r>
        <w:t xml:space="preserve">Access</w:t>
      </w:r>
    </w:p>
    <w:p>
      <w:pPr>
        <w:pStyle w:val="Compact"/>
        <w:numPr>
          <w:ilvl w:val="0"/>
          <w:numId w:val="1003"/>
        </w:numPr>
      </w:pPr>
      <w:r>
        <w:t xml:space="preserve">MFA for privileged key operations.</w:t>
      </w:r>
    </w:p>
    <w:p>
      <w:pPr>
        <w:pStyle w:val="Compact"/>
        <w:numPr>
          <w:ilvl w:val="0"/>
          <w:numId w:val="1003"/>
        </w:numPr>
      </w:pPr>
      <w:r>
        <w:t xml:space="preserve">Separation of duties for key administration and application ownership.</w:t>
      </w:r>
    </w:p>
    <w:p>
      <w:pPr>
        <w:pStyle w:val="Compact"/>
        <w:numPr>
          <w:ilvl w:val="0"/>
          <w:numId w:val="1003"/>
        </w:numPr>
      </w:pPr>
      <w:r>
        <w:t xml:space="preserve">Just-in-time emergency access where supported.</w:t>
      </w:r>
    </w:p>
    <w:p>
      <w:pPr>
        <w:pStyle w:val="Compact"/>
        <w:numPr>
          <w:ilvl w:val="0"/>
          <w:numId w:val="1003"/>
        </w:numPr>
      </w:pPr>
      <w:r>
        <w:t xml:space="preserve">Immutable audit of key-management operations.</w:t>
      </w:r>
    </w:p>
    <w:p>
      <w:pPr>
        <w:pStyle w:val="Compact"/>
        <w:numPr>
          <w:ilvl w:val="0"/>
          <w:numId w:val="1003"/>
        </w:numPr>
      </w:pPr>
      <w:r>
        <w:t xml:space="preserve">Documented revocation, recovery and destruction procedures.</w:t>
      </w:r>
    </w:p>
    <w:p>
      <w:pPr>
        <w:pStyle w:val="Heading2"/>
      </w:pPr>
      <w:bookmarkStart w:id="18" w:name="_6628b7f93a5acfff6e5b3e3610392ab0f8be753"/>
      <w:r>
        <w:t xml:space="preserve">5. Model Artifact Trust</w:t>
      </w:r>
    </w:p>
    <w:p>
      <w:pPr>
        <w:pStyle w:val="FirstParagraph"/>
      </w:pPr>
      <w:r>
        <w:t xml:space="preserve">Every production ML artifact must have:</w:t>
      </w:r>
    </w:p>
    <w:p>
      <w:pPr>
        <w:pStyle w:val="Compact"/>
        <w:numPr>
          <w:ilvl w:val="0"/>
          <w:numId w:val="1004"/>
        </w:numPr>
      </w:pPr>
      <w:r>
        <w:rPr>
          <w:b/>
          <w:bCs/>
        </w:rPr>
        <w:t xml:space="preserve">Identity:</w:t>
      </w:r>
      <w:r>
        <w:t xml:space="preserve"> </w:t>
      </w:r>
      <w:r>
        <w:t xml:space="preserve">model ID, model version, feature schema version, config/policy version.</w:t>
      </w:r>
    </w:p>
    <w:p>
      <w:pPr>
        <w:pStyle w:val="Compact"/>
        <w:numPr>
          <w:ilvl w:val="0"/>
          <w:numId w:val="1004"/>
        </w:numPr>
      </w:pPr>
      <w:r>
        <w:rPr>
          <w:b/>
          <w:bCs/>
        </w:rPr>
        <w:t xml:space="preserve">Integrity:</w:t>
      </w:r>
      <w:r>
        <w:t xml:space="preserve"> </w:t>
      </w:r>
      <w:r>
        <w:t xml:space="preserve">cryptographic digest.</w:t>
      </w:r>
    </w:p>
    <w:p>
      <w:pPr>
        <w:pStyle w:val="Compact"/>
        <w:numPr>
          <w:ilvl w:val="0"/>
          <w:numId w:val="1004"/>
        </w:numPr>
      </w:pPr>
      <w:r>
        <w:rPr>
          <w:b/>
          <w:bCs/>
        </w:rPr>
        <w:t xml:space="preserve">Authenticity:</w:t>
      </w:r>
      <w:r>
        <w:t xml:space="preserve"> </w:t>
      </w:r>
      <w:r>
        <w:t xml:space="preserve">trusted digital signature where signing is required by the artifact trust profile.</w:t>
      </w:r>
    </w:p>
    <w:p>
      <w:pPr>
        <w:pStyle w:val="Compact"/>
        <w:numPr>
          <w:ilvl w:val="0"/>
          <w:numId w:val="1004"/>
        </w:numPr>
      </w:pPr>
      <w:r>
        <w:rPr>
          <w:b/>
          <w:bCs/>
        </w:rPr>
        <w:t xml:space="preserve">Lifecycle:</w:t>
      </w:r>
      <w:r>
        <w:t xml:space="preserve"> </w:t>
      </w:r>
      <w:r>
        <w:t xml:space="preserve">validation, activation and retirement state.</w:t>
      </w:r>
    </w:p>
    <w:p>
      <w:pPr>
        <w:pStyle w:val="Compact"/>
        <w:numPr>
          <w:ilvl w:val="0"/>
          <w:numId w:val="1004"/>
        </w:numPr>
      </w:pPr>
      <w:r>
        <w:rPr>
          <w:b/>
          <w:bCs/>
        </w:rPr>
        <w:t xml:space="preserve">Provenance:</w:t>
      </w:r>
      <w:r>
        <w:t xml:space="preserve"> </w:t>
      </w:r>
      <w:r>
        <w:t xml:space="preserve">training and validation metadata sufficient for controlled replay.</w:t>
      </w:r>
    </w:p>
    <w:p>
      <w:pPr>
        <w:pStyle w:val="FirstParagraph"/>
      </w:pPr>
      <w:r>
        <w:rPr>
          <w:b/>
          <w:bCs/>
        </w:rPr>
        <w:t xml:space="preserve">Critical:</w:t>
      </w:r>
      <w:r>
        <w:t xml:space="preserve"> </w:t>
      </w:r>
      <w:r>
        <w:t xml:space="preserve">integrity hash is not authenticity. The trust boundary must separately verify provenance, authorization and signature state before serving an artifact.</w:t>
      </w:r>
    </w:p>
    <w:p>
      <w:pPr>
        <w:pStyle w:val="Heading2"/>
      </w:pPr>
      <w:bookmarkStart w:id="19" w:name="_fb23b83ee12dcf950d1c2a246bf059e11c6a401"/>
      <w:r>
        <w:t xml:space="preserve">6. Evidence Security</w:t>
      </w:r>
    </w:p>
    <w:p>
      <w:pPr>
        <w:pStyle w:val="FirstParagraph"/>
      </w:pPr>
      <w:r>
        <w:t xml:space="preserve">Canonical Evidence must be:</w:t>
      </w:r>
    </w:p>
    <w:p>
      <w:pPr>
        <w:pStyle w:val="Compact"/>
        <w:numPr>
          <w:ilvl w:val="0"/>
          <w:numId w:val="1005"/>
        </w:numPr>
      </w:pPr>
      <w:r>
        <w:t xml:space="preserve">data-minimized;</w:t>
      </w:r>
    </w:p>
    <w:p>
      <w:pPr>
        <w:pStyle w:val="Compact"/>
        <w:numPr>
          <w:ilvl w:val="0"/>
          <w:numId w:val="1005"/>
        </w:numPr>
      </w:pPr>
      <w:r>
        <w:t xml:space="preserve">tenant-bound through trusted runtime context;</w:t>
      </w:r>
    </w:p>
    <w:p>
      <w:pPr>
        <w:pStyle w:val="Compact"/>
        <w:numPr>
          <w:ilvl w:val="0"/>
          <w:numId w:val="1005"/>
        </w:numPr>
      </w:pPr>
      <w:r>
        <w:t xml:space="preserve">traceable without copying sensitive source data;</w:t>
      </w:r>
    </w:p>
    <w:p>
      <w:pPr>
        <w:pStyle w:val="Compact"/>
        <w:numPr>
          <w:ilvl w:val="0"/>
          <w:numId w:val="1005"/>
        </w:numPr>
      </w:pPr>
      <w:r>
        <w:t xml:space="preserve">integrity-protected where persisted;</w:t>
      </w:r>
    </w:p>
    <w:p>
      <w:pPr>
        <w:pStyle w:val="Compact"/>
        <w:numPr>
          <w:ilvl w:val="0"/>
          <w:numId w:val="1005"/>
        </w:numPr>
      </w:pPr>
      <w:r>
        <w:t xml:space="preserve">replay-identifiable through versioned rule/model/config metadata.</w:t>
      </w:r>
    </w:p>
    <w:p>
      <w:pPr>
        <w:pStyle w:val="FirstParagraph"/>
      </w:pPr>
      <w:r>
        <w:t xml:space="preserve">Raw PII, authentication material, complete transaction objects and unnecessary financial values must not be placed in evidence or logs.</w:t>
      </w:r>
    </w:p>
    <w:p>
      <w:pPr>
        <w:pStyle w:val="Heading2"/>
      </w:pPr>
      <w:bookmarkStart w:id="20" w:name="_70737d6671e2e0453d72a791972c40c9bba327b"/>
      <w:r>
        <w:t xml:space="preserve">7. Failure Semantics</w:t>
      </w:r>
    </w:p>
    <w:p>
      <w:pPr>
        <w:pStyle w:val="SourceCode"/>
      </w:pPr>
      <w:r>
        <w:rPr>
          <w:rStyle w:val="VerbatimChar"/>
        </w:rPr>
        <w:t xml:space="preserve">SIGNAL          -&gt; detector ran and produced a risk signal</w:t>
      </w:r>
      <w:r>
        <w:br/>
      </w:r>
      <w:r>
        <w:rPr>
          <w:rStyle w:val="VerbatimChar"/>
        </w:rPr>
        <w:t xml:space="preserve">CLEAN           -&gt; detector ran successfully and found no risk signal</w:t>
      </w:r>
      <w:r>
        <w:br/>
      </w:r>
      <w:r>
        <w:rPr>
          <w:rStyle w:val="VerbatimChar"/>
        </w:rPr>
        <w:t xml:space="preserve">NO_SIGNAL       -&gt; detector execution was valid but the condition for a signal was not met</w:t>
      </w:r>
      <w:r>
        <w:br/>
      </w:r>
      <w:r>
        <w:rPr>
          <w:rStyle w:val="VerbatimChar"/>
        </w:rPr>
        <w:t xml:space="preserve">INDETERMINATE   -&gt; safe evaluation was not possible because a required dependency/input was unavailable or invalid</w:t>
      </w:r>
      <w:r>
        <w:br/>
      </w:r>
      <w:r>
        <w:rPr>
          <w:rStyle w:val="VerbatimChar"/>
        </w:rPr>
        <w:t xml:space="preserve">SYSTEM_FAILURE  -&gt; execution/infrastructure/contract failure</w:t>
      </w:r>
    </w:p>
    <w:p>
      <w:pPr>
        <w:pStyle w:val="FirstParagraph"/>
      </w:pPr>
      <w:r>
        <w:rPr>
          <w:rStyle w:val="VerbatimChar"/>
        </w:rPr>
        <w:t xml:space="preserve">INDETERMINATE</w:t>
      </w:r>
      <w:r>
        <w:t xml:space="preserve"> </w:t>
      </w:r>
      <w:r>
        <w:t xml:space="preserve">and</w:t>
      </w:r>
      <w:r>
        <w:t xml:space="preserve"> </w:t>
      </w:r>
      <w:r>
        <w:rPr>
          <w:rStyle w:val="VerbatimChar"/>
        </w:rPr>
        <w:t xml:space="preserve">SYSTEM_FAILURE</w:t>
      </w:r>
      <w:r>
        <w:t xml:space="preserve"> </w:t>
      </w:r>
      <w:r>
        <w:t xml:space="preserve">must never be silently represented as a clean financial-crime result.</w:t>
      </w:r>
    </w:p>
    <w:p>
      <w:pPr>
        <w:pStyle w:val="Heading2"/>
      </w:pPr>
      <w:bookmarkStart w:id="21" w:name="_60bc58b6bc050691f83e666cad7b8c86df086ce"/>
      <w:r>
        <w:t xml:space="preserve">8. Compliance Monitoring</w:t>
      </w:r>
    </w:p>
    <w:p>
      <w:pPr>
        <w:pStyle w:val="Compact"/>
        <w:numPr>
          <w:ilvl w:val="0"/>
          <w:numId w:val="1006"/>
        </w:numPr>
      </w:pPr>
      <w:r>
        <w:t xml:space="preserve">Cryptographic inventory reviewed at least quarterly.</w:t>
      </w:r>
    </w:p>
    <w:p>
      <w:pPr>
        <w:pStyle w:val="Compact"/>
        <w:numPr>
          <w:ilvl w:val="0"/>
          <w:numId w:val="1006"/>
        </w:numPr>
      </w:pPr>
      <w:r>
        <w:t xml:space="preserve">Algorithm deprecation and NCS changes monitored.</w:t>
      </w:r>
    </w:p>
    <w:p>
      <w:pPr>
        <w:pStyle w:val="Compact"/>
        <w:numPr>
          <w:ilvl w:val="0"/>
          <w:numId w:val="1006"/>
        </w:numPr>
      </w:pPr>
      <w:r>
        <w:t xml:space="preserve">Key-management operations continuously auditable.</w:t>
      </w:r>
    </w:p>
    <w:p>
      <w:pPr>
        <w:pStyle w:val="Compact"/>
        <w:numPr>
          <w:ilvl w:val="0"/>
          <w:numId w:val="1006"/>
        </w:numPr>
      </w:pPr>
      <w:r>
        <w:t xml:space="preserve">Security testing scheduled according to applicable organizational policy.</w:t>
      </w:r>
    </w:p>
    <w:p>
      <w:pPr>
        <w:pStyle w:val="Compact"/>
        <w:numPr>
          <w:ilvl w:val="0"/>
          <w:numId w:val="1006"/>
        </w:numPr>
      </w:pPr>
      <w:r>
        <w:t xml:space="preserve">SIEM/security monitoring integrated for key and security-control events.</w:t>
      </w:r>
    </w:p>
    <w:p>
      <w:pPr>
        <w:pStyle w:val="Compact"/>
        <w:numPr>
          <w:ilvl w:val="0"/>
          <w:numId w:val="1006"/>
        </w:numPr>
      </w:pPr>
      <w:r>
        <w:t xml:space="preserve">Exceptions documented, risk-accepted and time-bounded.</w:t>
      </w:r>
    </w:p>
    <w:p>
      <w:pPr>
        <w:pStyle w:val="Heading2"/>
      </w:pPr>
      <w:bookmarkStart w:id="22" w:name="_45be7a7aab94a9288055e828a104104900964f0"/>
      <w:r>
        <w:t xml:space="preserve">9. Secure Engineering Rule</w:t>
      </w:r>
    </w:p>
    <w:p>
      <w:pPr>
        <w:pStyle w:val="FirstParagraph"/>
      </w:pPr>
      <w:r>
        <w:t xml:space="preserve">Cryptographic code must use maintained, reviewed libraries. HISN does not implement AES, ECDSA, HKDF or certificate validation primitives itself. The</w:t>
      </w:r>
      <w:r>
        <w:t xml:space="preserve"> </w:t>
      </w:r>
      <w:r>
        <w:rPr>
          <w:rStyle w:val="VerbatimChar"/>
        </w:rPr>
        <w:t xml:space="preserve">src/platform/security/crypto</w:t>
      </w:r>
      <w:r>
        <w:t xml:space="preserve"> </w:t>
      </w:r>
      <w:r>
        <w:t xml:space="preserve">package is a narrow policy/enforcement adapter around approved cryptographic libraries and KMS/HSM interfaces.</w:t>
      </w:r>
    </w:p>
    <w:sectPr>
      <w:headerReference w:type="default" r:id="rId9"/>
      <w:footerReference w:type="default" r:id="rId10"/>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80" w:after="40"/>
      <w:jc w:val="center"/>
      <w:pBdr>
        <w:top w:val="single" w:sz="8" w:space="6" w:color="C9A45B"/>
      </w:pBdr>
    </w:pPr>
    <w:r>
      <w:rPr>
        <w:rFonts w:ascii="Cairo" w:hAnsi="Cairo" w:cs="Cairo"/>
        <w:b/>
        <w:color w:val="0A0A0A"/>
        <w:sz w:val="16"/>
      </w:rPr>
      <w:t xml:space="preserve">HISN FCDOS — Where Trust Begins.   حِصْن ... حيث تبدأ الثقة   |   </w:t>
    </w:r>
    <w:r>
      <w:rPr>
        <w:rFonts w:ascii="Cairo" w:hAnsi="Cairo" w:cs="Cairo"/>
        <w:b/>
        <w:color w:val="C9A45B"/>
        <w:sz w:val="16"/>
      </w:rPr>
      <w:t>Security</w:t>
    </w:r>
    <w:r>
      <w:rPr>
        <w:rFonts w:ascii="Cairo" w:hAnsi="Cairo" w:cs="Cairo"/>
        <w:b/>
        <w:color w:val="0A0A0A"/>
        <w:sz w:val="16"/>
      </w:rPr>
      <w:t xml:space="preserve">   |   Page </w:t>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40" w:after="80"/>
      <w:jc w:val="left"/>
      <w:tabs>
        <w:tab w:val="center" w:pos="4680"/>
        <w:tab w:val="right" w:pos="9360"/>
      </w:tabs>
      <w:pBdr>
        <w:bottom w:val="single" w:sz="12" w:space="6" w:color="C9A45B"/>
      </w:pBdr>
    </w:pPr>
    <w:r>
      <w:drawing>
        <wp:inline xmlns:a="http://schemas.openxmlformats.org/drawingml/2006/main" xmlns:pic="http://schemas.openxmlformats.org/drawingml/2006/picture">
          <wp:extent cx="822960" cy="82296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822960" cy="822960"/>
                  </a:xfrm>
                  <a:prstGeom prst="rect"/>
                </pic:spPr>
              </pic:pic>
            </a:graphicData>
          </a:graphic>
        </wp:inline>
      </w:drawing>
    </w:r>
    <w:r>
      <w:rPr>
        <w:rFonts w:ascii="Cairo" w:hAnsi="Cairo" w:cs="Cairo"/>
        <w:sz w:val="28"/>
      </w:rPr>
      <w:tab/>
    </w:r>
    <w:r>
      <w:rPr>
        <w:rFonts w:ascii="Cairo" w:hAnsi="Cairo" w:cs="Cairo"/>
        <w:b/>
        <w:color w:val="C9A45B"/>
        <w:sz w:val="28"/>
      </w:rPr>
      <w:t>HISN FCDOS</w:t>
    </w:r>
    <w:r>
      <w:rPr>
        <w:rFonts w:ascii="Cairo" w:hAnsi="Cairo" w:cs="Cairo"/>
        <w:sz w:val="20"/>
      </w:rPr>
      <w:tab/>
    </w:r>
    <w:r>
      <w:rPr>
        <w:rFonts w:ascii="Cairo" w:hAnsi="Cairo" w:cs="Cairo"/>
        <w:b/>
        <w:color w:val="B8472D"/>
        <w:sz w:val="20"/>
      </w:rPr>
      <w:t>CONFIDENTIAL</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rPr>
      <w:rFonts w:ascii="Tajawal" w:hAnsi="Tajawal" w:cs="Tajawal"/>
    </w:rPr>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HISN-BANK-CRYPTO-001</dc:title>
  <dc:creator>HISN Platform</dc:creator>
  <cp:keywords>HISN, FCDOS, financial crime, decision operating system</cp:keywords>
  <dcterms:created xsi:type="dcterms:W3CDTF">2026-10-13T12:56:55Z</dcterms:created>
  <dcterms:modified xsi:type="dcterms:W3CDTF">2026-10-13T12:56:55Z</dcterms:modified>
  <cp:lastModifiedBy>HISN Platform</cp:lastModifiedBy>
  <dc:description/>
  <cp:category>HISN FCDOS — Investor Data Room</cp:category>
  <cp:contentStatus>Confidential</cp:contentStatus>
  <dc:identifier/>
  <dc:language>en-US</dc:language>
  <dc:subject>HISN FCDOS Investor Data Room</dc:subject>
</cp:coreProperties>
</file>

<file path=docProps/custom.xml><?xml version="1.0" encoding="utf-8"?>
<Properties xmlns="http://schemas.openxmlformats.org/officeDocument/2006/custom-properties" xmlns:vt="http://schemas.openxmlformats.org/officeDocument/2006/docPropsVTypes"/>
</file>