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8d2f5a932dc91cc0381d6b977c3edc4bed6a746"/>
      <w:r>
        <w:t xml:space="preserve">HISN CISO Residual Risk Acceptance — 2026-10-06</w:t>
      </w:r>
    </w:p>
    <w:p>
      <w:pPr>
        <w:pStyle w:val="Heading2"/>
      </w:pPr>
      <w:bookmarkStart w:id="10" w:name="_purpose"/>
      <w:r>
        <w:t xml:space="preserve">Purpose</w:t>
      </w:r>
    </w:p>
    <w:p>
      <w:pPr>
        <w:pStyle w:val="FirstParagraph"/>
      </w:pPr>
      <w:r>
        <w:t xml:space="preserve">This document records the residual-risk package for P0 controls that cannot be truthfully closed by software evidence alone.</w:t>
      </w:r>
    </w:p>
    <w:p>
      <w:pPr>
        <w:pStyle w:val="BlockText"/>
      </w:pPr>
      <w:r>
        <w:rPr>
          <w:b/>
          <w:bCs/>
        </w:rPr>
        <w:t xml:space="preserve">Important:</w:t>
      </w:r>
      <w:r>
        <w:t xml:space="preserve"> </w:t>
      </w:r>
      <w:r>
        <w:t xml:space="preserve">This is a signature-ready control artifact. It is</w:t>
      </w:r>
      <w:r>
        <w:t xml:space="preserve"> </w:t>
      </w:r>
      <w:r>
        <w:rPr>
          <w:b/>
          <w:bCs/>
        </w:rPr>
        <w:t xml:space="preserve">not represented as signed or approved</w:t>
      </w:r>
      <w:r>
        <w:t xml:space="preserve"> </w:t>
      </w:r>
      <w:r>
        <w:t xml:space="preserve">until the authorized CISO/security owner and witness actually sign it.</w:t>
      </w:r>
    </w:p>
    <w:p>
      <w:pPr>
        <w:pStyle w:val="Heading2"/>
      </w:pPr>
      <w:bookmarkStart w:id="11" w:name="_scope"/>
      <w:r>
        <w:t xml:space="preserve">Scope</w:t>
      </w:r>
    </w:p>
    <w:p>
      <w:pPr>
        <w:pStyle w:val="FirstParagraph"/>
      </w:pPr>
      <w:r>
        <w:t xml:space="preserve">P0-04, P0-06, P0-07, P0-10.</w:t>
      </w:r>
    </w:p>
    <w:p>
      <w:pPr>
        <w:pStyle w:val="Heading2"/>
      </w:pPr>
      <w:bookmarkStart w:id="12" w:name="_5b9ea848f29d5f7adbc65cdb20decb02f305ca3"/>
      <w:r>
        <w:t xml:space="preserve">P0-04 — Live A/B Tenant Isolation Proof</w:t>
      </w:r>
    </w:p>
    <w:p>
      <w:pPr>
        <w:pStyle w:val="Compact"/>
        <w:numPr>
          <w:ilvl w:val="0"/>
          <w:numId w:val="1001"/>
        </w:numPr>
      </w:pPr>
      <w:r>
        <w:t xml:space="preserve">Status: Engineering controls complete; live receipt blocked.</w:t>
      </w:r>
    </w:p>
    <w:p>
      <w:pPr>
        <w:pStyle w:val="Compact"/>
        <w:numPr>
          <w:ilvl w:val="0"/>
          <w:numId w:val="1001"/>
        </w:numPr>
      </w:pPr>
      <w:r>
        <w:t xml:space="preserve">Blocker: no two real populated production tenant boundaries are currently available for a valid A/B receipt.</w:t>
      </w:r>
    </w:p>
    <w:p>
      <w:pPr>
        <w:pStyle w:val="Compact"/>
        <w:numPr>
          <w:ilvl w:val="0"/>
          <w:numId w:val="1001"/>
        </w:numPr>
      </w:pPr>
      <w:r>
        <w:t xml:space="preserve">Reason for deferral: synthetic production tenants must not be inserted solely to manufacture a PASS.</w:t>
      </w:r>
    </w:p>
    <w:p>
      <w:pPr>
        <w:pStyle w:val="Compact"/>
        <w:numPr>
          <w:ilvl w:val="0"/>
          <w:numId w:val="1001"/>
        </w:numPr>
      </w:pPr>
      <w:r>
        <w:t xml:space="preserve">Compensating controls: 16/16 discovered tenant-bearing tables have RLS + FORCE RLS; runtime DB-role contract is enforced and startup-verified; disposable/controlled isolation tests remain part of engineering assurance.</w:t>
      </w:r>
    </w:p>
    <w:p>
      <w:pPr>
        <w:pStyle w:val="Compact"/>
        <w:numPr>
          <w:ilvl w:val="0"/>
          <w:numId w:val="1001"/>
        </w:numPr>
      </w:pPr>
      <w:r>
        <w:t xml:space="preserve">Trigger to close: first production/customer state with two legitimate populated tenant boundaries.</w:t>
      </w:r>
    </w:p>
    <w:p>
      <w:pPr>
        <w:pStyle w:val="Compact"/>
        <w:numPr>
          <w:ilvl w:val="0"/>
          <w:numId w:val="1001"/>
        </w:numPr>
      </w:pPr>
      <w:r>
        <w:t xml:space="preserve">Evidence required: exact production SHA, A/B read/write isolation, forged tenant mutation denial, no-context fail-closed, runtime identity receipt.</w:t>
      </w:r>
    </w:p>
    <w:p>
      <w:pPr>
        <w:pStyle w:val="Heading2"/>
      </w:pPr>
      <w:bookmarkStart w:id="13" w:name="_17242bce16d1b13366534044506a006c92c57db"/>
      <w:r>
        <w:t xml:space="preserve">P0-06 — Production MFA / IdP Enrollment</w:t>
      </w:r>
    </w:p>
    <w:p>
      <w:pPr>
        <w:pStyle w:val="Compact"/>
        <w:numPr>
          <w:ilvl w:val="0"/>
          <w:numId w:val="1002"/>
        </w:numPr>
      </w:pPr>
      <w:r>
        <w:t xml:space="preserve">Status: Runtime enforcement is deployed; production IdP enrollment remains pending.</w:t>
      </w:r>
    </w:p>
    <w:p>
      <w:pPr>
        <w:pStyle w:val="Compact"/>
        <w:numPr>
          <w:ilvl w:val="0"/>
          <w:numId w:val="1002"/>
        </w:numPr>
      </w:pPr>
      <w:r>
        <w:t xml:space="preserve">Blocker: IdP selection/provisioning and live privileged-user enrollment.</w:t>
      </w:r>
    </w:p>
    <w:p>
      <w:pPr>
        <w:pStyle w:val="Compact"/>
        <w:numPr>
          <w:ilvl w:val="0"/>
          <w:numId w:val="1002"/>
        </w:numPr>
      </w:pPr>
      <w:r>
        <w:t xml:space="preserve">Compensating controls: privileged roles fail closed without verified MFA context; break-glass is policy-gated by MFA/approval/time-bound session semantics.</w:t>
      </w:r>
    </w:p>
    <w:p>
      <w:pPr>
        <w:pStyle w:val="Compact"/>
        <w:numPr>
          <w:ilvl w:val="0"/>
          <w:numId w:val="1002"/>
        </w:numPr>
      </w:pPr>
      <w:r>
        <w:t xml:space="preserve">Trigger to close: IdP selected, integrated, privileged users enrolled, and live evidence retained.</w:t>
      </w:r>
    </w:p>
    <w:p>
      <w:pPr>
        <w:pStyle w:val="Heading2"/>
      </w:pPr>
      <w:bookmarkStart w:id="14" w:name="_84c7783babbaea3c898cd11299cfbf6b2882d68"/>
      <w:r>
        <w:t xml:space="preserve">P0-07 — Production KMS / HSM</w:t>
      </w:r>
    </w:p>
    <w:p>
      <w:pPr>
        <w:pStyle w:val="Compact"/>
        <w:numPr>
          <w:ilvl w:val="0"/>
          <w:numId w:val="1003"/>
        </w:numPr>
      </w:pPr>
      <w:r>
        <w:t xml:space="preserve">Status: Runtime secret/role controls exist; production KMS/HSM ownership is not evidenced.</w:t>
      </w:r>
    </w:p>
    <w:p>
      <w:pPr>
        <w:pStyle w:val="Compact"/>
        <w:numPr>
          <w:ilvl w:val="0"/>
          <w:numId w:val="1003"/>
        </w:numPr>
      </w:pPr>
      <w:r>
        <w:t xml:space="preserve">Blocker: provider selection, key hierarchy, rotation/versioning ceremony and admin separation.</w:t>
      </w:r>
    </w:p>
    <w:p>
      <w:pPr>
        <w:pStyle w:val="Compact"/>
        <w:numPr>
          <w:ilvl w:val="0"/>
          <w:numId w:val="1003"/>
        </w:numPr>
      </w:pPr>
      <w:r>
        <w:t xml:space="preserve">Compensating controls: dedicated DB runtime/migrator roles, secret references, non-root runtime, archive credential rotation.</w:t>
      </w:r>
    </w:p>
    <w:p>
      <w:pPr>
        <w:pStyle w:val="Compact"/>
        <w:numPr>
          <w:ilvl w:val="0"/>
          <w:numId w:val="1003"/>
        </w:numPr>
      </w:pPr>
      <w:r>
        <w:t xml:space="preserve">Trigger to close: owner-approved KMS/HSM architecture and rotation evidence.</w:t>
      </w:r>
    </w:p>
    <w:p>
      <w:pPr>
        <w:pStyle w:val="Heading2"/>
      </w:pPr>
      <w:bookmarkStart w:id="15" w:name="_3f5c66e8fcda0d6b910844b9bd32d8f51e95acf"/>
      <w:r>
        <w:t xml:space="preserve">P0-10 — SIEM / SOC Destination</w:t>
      </w:r>
    </w:p>
    <w:p>
      <w:pPr>
        <w:pStyle w:val="Compact"/>
        <w:numPr>
          <w:ilvl w:val="0"/>
          <w:numId w:val="1004"/>
        </w:numPr>
      </w:pPr>
      <w:r>
        <w:t xml:space="preserve">Status: telemetry foundation active; security event destination is not yet evidenced.</w:t>
      </w:r>
    </w:p>
    <w:p>
      <w:pPr>
        <w:pStyle w:val="Compact"/>
        <w:numPr>
          <w:ilvl w:val="0"/>
          <w:numId w:val="1004"/>
        </w:numPr>
      </w:pPr>
      <w:r>
        <w:t xml:space="preserve">Blocker: SIEM/SOC vendor/endpoint, event routing and retention policy.</w:t>
      </w:r>
    </w:p>
    <w:p>
      <w:pPr>
        <w:pStyle w:val="Compact"/>
        <w:numPr>
          <w:ilvl w:val="0"/>
          <w:numId w:val="1004"/>
        </w:numPr>
      </w:pPr>
      <w:r>
        <w:t xml:space="preserve">Compensating controls: Railway tracing/auto-instrumentation and platform logs remain available.</w:t>
      </w:r>
    </w:p>
    <w:p>
      <w:pPr>
        <w:pStyle w:val="Compact"/>
        <w:numPr>
          <w:ilvl w:val="0"/>
          <w:numId w:val="1004"/>
        </w:numPr>
      </w:pPr>
      <w:r>
        <w:t xml:space="preserve">Trigger to close: named destination, privacy-safe correlation, delivery test, incident triage/escalation evidence.</w:t>
      </w:r>
    </w:p>
    <w:p>
      <w:pPr>
        <w:pStyle w:val="Heading2"/>
      </w:pPr>
      <w:bookmarkStart w:id="16" w:name="_1ce4cbd16a888d4985000efa6ca2da55066bb53"/>
      <w:r>
        <w:t xml:space="preserve">Risk treatment</w:t>
      </w:r>
    </w:p>
    <w:p>
      <w:pPr>
        <w:pStyle w:val="FirstParagraph"/>
      </w:pPr>
      <w:r>
        <w:t xml:space="preserve">This package classifies the above as</w:t>
      </w:r>
      <w:r>
        <w:t xml:space="preserve"> </w:t>
      </w:r>
      <w:r>
        <w:rPr>
          <w:b/>
          <w:bCs/>
        </w:rPr>
        <w:t xml:space="preserve">explicit residual dependencies</w:t>
      </w:r>
      <w:r>
        <w:t xml:space="preserve">, not hidden defects.</w:t>
      </w:r>
    </w:p>
    <w:p>
      <w:pPr>
        <w:pStyle w:val="Heading2"/>
      </w:pPr>
      <w:bookmarkStart w:id="17" w:name="_6211f77b5157af11aadd8c568e6c44be4535ea5"/>
      <w:r>
        <w:t xml:space="preserve">Approval block</w:t>
      </w:r>
    </w:p>
    <w:p>
      <w:pPr>
        <w:pStyle w:val="FirstParagraph"/>
      </w:pPr>
      <w:r>
        <w:t xml:space="preserve">Authorized CISO / Security Owner: ____________________</w:t>
      </w:r>
      <w:r>
        <w:br/>
      </w:r>
      <w:r>
        <w:t xml:space="preserve">Role: ____________________</w:t>
      </w:r>
      <w:r>
        <w:br/>
      </w:r>
      <w:r>
        <w:t xml:space="preserve">Signature: 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Witness / CTO: ____________________</w:t>
      </w:r>
      <w:r>
        <w:br/>
      </w:r>
      <w:r>
        <w:t xml:space="preserve">Signature: ____________________</w:t>
      </w:r>
      <w:r>
        <w:br/>
      </w:r>
      <w:r>
        <w:t xml:space="preserve">Date: ____________________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CISO RESIDUAL RISK ACCEPTANCE 2026-10-06</dc:title>
  <dc:creator>HISN Platform</dc:creator>
  <cp:keywords>HISN, FCDOS, financial crime, decision operating system</cp:keywords>
  <dcterms:created xsi:type="dcterms:W3CDTF">2026-10-13T12:56:54Z</dcterms:created>
  <dcterms:modified xsi:type="dcterms:W3CDTF">2026-10-13T12:56:54Z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