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679df0df5dcce75a0d74477c0d70d2770ee1af"/>
      <w:r>
        <w:t xml:space="preserve">HISN CTO / CISO Bank-Grade Control Closure Matrix — 2026-10-07</w:t>
      </w:r>
    </w:p>
    <w:p>
      <w:pPr>
        <w:pStyle w:val="Heading2"/>
      </w:pPr>
      <w:bookmarkStart w:id="10" w:name="_f51c6c7f0ea5bfabe6de4877fe0341b5ea647b3"/>
      <w:r>
        <w:t xml:space="preserve">Executive position</w:t>
      </w:r>
    </w:p>
    <w:p>
      <w:pPr>
        <w:pStyle w:val="FirstParagraph"/>
      </w:pPr>
      <w:r>
        <w:t xml:space="preserve">This register is the current engineering control position for the HISN Platform. The last verified full regression baseline was 892/892 on implementation SHA</w:t>
      </w:r>
      <w:r>
        <w:t xml:space="preserve"> </w:t>
      </w:r>
      <w:r>
        <w:rPr>
          <w:rStyle w:val="VerbatimChar"/>
        </w:rPr>
        <w:t xml:space="preserve">acfa3a8606f1227939e364f1a068eaeebf83f05f</w:t>
      </w:r>
      <w:r>
        <w:t xml:space="preserve">; subsequent scoped engineering-closure changes require a fresh exact-head regression.</w:t>
      </w:r>
    </w:p>
    <w:p>
      <w:pPr>
        <w:pStyle w:val="BodyText"/>
      </w:pPr>
      <w:r>
        <w:t xml:space="preserve">It is written for CTO/CISO, bank technology-risk, SAMA-facing due diligence, customer security review, and executive release governance.</w:t>
      </w:r>
    </w:p>
    <w:p>
      <w:pPr>
        <w:pStyle w:val="BodyText"/>
      </w:pPr>
      <w:r>
        <w:rPr>
          <w:b/>
          <w:bCs/>
        </w:rPr>
        <w:t xml:space="preserve">This document is not a SAMA certification, PDPL legal opinion, ISO certification, penetration-test report, or regulator approval.</w:t>
      </w:r>
    </w:p>
    <w:p>
      <w:pPr>
        <w:pStyle w:val="Heading2"/>
      </w:pPr>
      <w:bookmarkStart w:id="11" w:name="_08a09d4c91bf1395c94e94763b42e0dbf1a0cee"/>
      <w:r>
        <w:t xml:space="preserve">Classification standard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Implemented and supported by repository/test evidence; no additional environment evidence is required for the scoped engineering claim.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Canonical implementation exists, but one or more proof dimensions remain incomplete.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Cannot be honestly closed from repository code alone; requires target-environment, legal/privacy, vendor, customer, independent-assurance, or GitHub control-plane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Repository evidence is insufficient to establish the claim and no inference is permitted.</w:t>
            </w:r>
          </w:p>
        </w:tc>
      </w:tr>
    </w:tbl>
    <w:p>
      <w:pPr>
        <w:pStyle w:val="Heading2"/>
      </w:pPr>
      <w:bookmarkStart w:id="12" w:name="_d056c3d1ebdb3c1105281772fa81029cc2b2973"/>
      <w:r>
        <w:t xml:space="preserve">1. Buried capability / SSOT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Current position</w:t>
            </w:r>
          </w:p>
        </w:tc>
        <w:tc>
          <w:tcPr/>
          <w:p>
            <w:pPr>
              <w:pStyle w:val="Compact"/>
            </w:pPr>
            <w:r>
              <w:t xml:space="preserve">Closure evidence / remaining 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Buried legacy runtime resurrection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Legacy</w:t>
            </w:r>
            <w:r>
              <w:t xml:space="preserve"> </w:t>
            </w:r>
            <w:r>
              <w:rPr>
                <w:rStyle w:val="VerbatimChar"/>
              </w:rPr>
              <w:t xml:space="preserve">src/engines/*</w:t>
            </w:r>
            <w:r>
              <w:t xml:space="preserve"> </w:t>
            </w:r>
            <w:r>
              <w:t xml:space="preserve">intelligence surfaces are not registered by the canonical composition root; explicit no-dynamic-discovery guards exist.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Buried capability authority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at architecture boundary</w:t>
            </w:r>
          </w:p>
        </w:tc>
        <w:tc>
          <w:tcPr/>
          <w:p>
            <w:pPr>
              <w:pStyle w:val="Compact"/>
            </w:pPr>
            <w:r>
              <w:t xml:space="preserve">Latent register explicitly prevents manifest/composition-root resurrection and requires consumer census before deletion.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Capability SSOT reconciliation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— engineering proof</w:t>
            </w:r>
          </w:p>
        </w:tc>
        <w:tc>
          <w:tcPr/>
          <w:p>
            <w:pPr>
              <w:pStyle w:val="Compact"/>
            </w:pPr>
            <w:r>
              <w:t xml:space="preserve">The canonical 20-capability registry now records explicit owner, contract, runtime, data, evidence/audit boundary and focused tests for the previously incomplete intelligence capabilities. No secondary runtime is authorized.</w:t>
            </w:r>
          </w:p>
        </w:tc>
        <w:tc>
          <w:tcPr/>
          <w:p>
            <w:pPr>
              <w:pStyle w:val="Compact"/>
            </w:pPr>
            <w:r>
              <w:t xml:space="preserve">CTO /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DNA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FinancialDNAService</w:t>
            </w:r>
            <w:r>
              <w:t xml:space="preserve"> </w:t>
            </w:r>
            <w:r>
              <w:t xml:space="preserve">projects the canonical transaction read model; focused behavior test and explicit decision-neutral authority boundary are present.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Explainability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ExplainabilityService</w:t>
            </w:r>
            <w:r>
              <w:t xml:space="preserve"> </w:t>
            </w:r>
            <w:r>
              <w:t xml:space="preserve">is the single explanation projection and the evaluation API routes through it; no separate decision authority is created.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360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owner, evidence boundary and focused behavior tests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Navigator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relationship read-model boundary and focused behavior test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read-model sources, decision-neutral boundary and focused behavior test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Behavioral Intelligence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transaction read-model boundary and decision-neutral behavior are focused-test verified and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</w:tbl>
    <w:p>
      <w:pPr>
        <w:pStyle w:val="Heading2"/>
      </w:pPr>
      <w:bookmarkStart w:id="13" w:name="_acc949f8477602816a1518c1615acf205c0d028"/>
      <w:r>
        <w:t xml:space="preserve">2. Active capability control</w:t>
      </w:r>
    </w:p>
    <w:p>
      <w:pPr>
        <w:pStyle w:val="FirstParagraph"/>
      </w:pPr>
      <w:r>
        <w:rPr>
          <w:b/>
          <w:bCs/>
        </w:rPr>
        <w:t xml:space="preserve">20/20 capabilities remain ACTIVE.</w:t>
      </w:r>
    </w:p>
    <w:p>
      <w:pPr>
        <w:pStyle w:val="BodyText"/>
      </w:pPr>
      <w:r>
        <w:t xml:space="preserve">ACTIVE is an activation statement, not a production-readiness statement. The registry deliberately supports UNKNOWN/PARTIAL proof states so that missing production evidence is never inferred from code presence.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 class</w:t>
            </w:r>
          </w:p>
        </w:tc>
        <w:tc>
          <w:tcPr/>
          <w:p>
            <w:pPr>
              <w:pStyle w:val="Compact"/>
            </w:pPr>
            <w:r>
              <w:t xml:space="preserve">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engines</w:t>
            </w:r>
          </w:p>
        </w:tc>
        <w:tc>
          <w:tcPr/>
          <w:p>
            <w:pPr>
              <w:pStyle w:val="Compact"/>
            </w:pPr>
            <w:r>
              <w:t xml:space="preserve">Explicitly bounded by canonical engine registry; no latent intelligence module is an alternate DecisionEngine.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Intelligence/read models</w:t>
            </w:r>
          </w:p>
        </w:tc>
        <w:tc>
          <w:tcPr/>
          <w:p>
            <w:pPr>
              <w:pStyle w:val="Compact"/>
            </w:pPr>
            <w:r>
              <w:t xml:space="preserve">Active only behind canonical services and decision-neutral boundaries.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providers</w:t>
            </w:r>
          </w:p>
        </w:tc>
        <w:tc>
          <w:tcPr/>
          <w:p>
            <w:pPr>
              <w:pStyle w:val="Compact"/>
            </w:pPr>
            <w:r>
              <w:t xml:space="preserve">PEP, Nafath/Identity Verification and Rescreening remain fail-closed until approved live provider evidence exists.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/ Provenance</w:t>
            </w:r>
          </w:p>
        </w:tc>
        <w:tc>
          <w:tcPr/>
          <w:p>
            <w:pPr>
              <w:pStyle w:val="Compact"/>
            </w:pPr>
            <w:r>
              <w:t xml:space="preserve">Canonical control/evidence boundary remains authoritative.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Readiness</w:t>
            </w:r>
          </w:p>
        </w:tc>
        <w:tc>
          <w:tcPr/>
          <w:p>
            <w:pPr>
              <w:pStyle w:val="Compact"/>
            </w:pPr>
            <w:r>
              <w:t xml:space="preserve">Process-level observation only; it must not infer external production controls.</w:t>
            </w:r>
          </w:p>
        </w:tc>
      </w:tr>
    </w:tbl>
    <w:p>
      <w:pPr>
        <w:pStyle w:val="Heading2"/>
      </w:pPr>
      <w:bookmarkStart w:id="14" w:name="_6a8ceea7f7dcdf7699ccdf36c5187759b98d6be"/>
      <w:r>
        <w:t xml:space="preserve">3. Prediction / ML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t xml:space="preserve">Acceptance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ML anomaly capability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governed engineering behavior</w:t>
            </w:r>
          </w:p>
        </w:tc>
        <w:tc>
          <w:tcPr/>
          <w:p>
            <w:pPr>
              <w:pStyle w:val="Compact"/>
            </w:pPr>
            <w:r>
              <w:t xml:space="preserve">Canonical AML runtime consumes ML as a signal, not as an autonomous decision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False-clear prevention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Model unavailability/inference failure is explicit failure/blocking semantics, not a clean result.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provenance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Model metadata includes version/config/artifact SHA-3-512 where supplied. Production artifact approval and immutable registry evidence are still required.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governance — engineering control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MLModelGovernanceRecord</w:t>
            </w:r>
            <w:r>
              <w:t xml:space="preserve"> </w:t>
            </w:r>
            <w:r>
              <w:t xml:space="preserve">requires validated+active artifact state, named validation owner/reference, monitoring profile, approval reference and timestamp integrity; focused tests cover negative cases.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of ML evidence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tested contract</w:t>
            </w:r>
          </w:p>
        </w:tc>
        <w:tc>
          <w:tcPr/>
          <w:p>
            <w:pPr>
              <w:pStyle w:val="Compact"/>
            </w:pPr>
            <w:r>
              <w:t xml:space="preserve">Tested evidence excludes raw amount, customer ID, IBAN and national ID from ML finding metadata.</w:t>
            </w:r>
          </w:p>
        </w:tc>
      </w:tr>
    </w:tbl>
    <w:p>
      <w:pPr>
        <w:pStyle w:val="Heading2"/>
      </w:pPr>
      <w:bookmarkStart w:id="15" w:name="_e831b773ad4cef22f0a1ba1628c2f3d21543d85"/>
      <w:r>
        <w:t xml:space="preserve">4. Security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Required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/ authorization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application baseline</w:t>
            </w:r>
          </w:p>
        </w:tc>
        <w:tc>
          <w:tcPr/>
          <w:p>
            <w:pPr>
              <w:pStyle w:val="Compact"/>
            </w:pPr>
            <w:r>
              <w:t xml:space="preserve">Fail-closed JWT/RBAC/tenant authorization 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isolation / RLS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tested engineering baseline</w:t>
            </w:r>
          </w:p>
        </w:tc>
        <w:tc>
          <w:tcPr/>
          <w:p>
            <w:pPr>
              <w:pStyle w:val="Compact"/>
            </w:pPr>
            <w:r>
              <w:t xml:space="preserve">PostgreSQL/RLS/tenant-boundary 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MFA / privileged authorization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application policy</w:t>
            </w:r>
          </w:p>
        </w:tc>
        <w:tc>
          <w:tcPr/>
          <w:p>
            <w:pPr>
              <w:pStyle w:val="Compact"/>
            </w:pPr>
            <w:r>
              <w:t xml:space="preserve">Privileged roles require verified MFA context in current authorization runtime/tests.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Separation of Duties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governed workflow control</w:t>
            </w:r>
          </w:p>
        </w:tc>
        <w:tc>
          <w:tcPr/>
          <w:p>
            <w:pPr>
              <w:pStyle w:val="Compact"/>
            </w:pPr>
            <w:r>
              <w:t xml:space="preserve">Maker/checker runtime tests and explicit prohibited combinations.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documentation exposure in production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Production docs/OpenAPI disabled by code and test.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/ Gate 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current tested image/control</w:t>
            </w:r>
          </w:p>
        </w:tc>
        <w:tc>
          <w:tcPr/>
          <w:p>
            <w:pPr>
              <w:pStyle w:val="Compact"/>
            </w:pPr>
            <w:r>
              <w:t xml:space="preserve">Hardened non-root image and zero HIGH/CRITICAL evidence on the established control line.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main branch protection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GitHub Free + private personal repository currently prevents native protected-branch enforcement; do not claim protected-main control until the platform supports it or repository governance is moved to an eligible GitHub control plane.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penetration/adversarial assessment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Independent assessment, remediation, retest and residual-risk acceptance.</w:t>
            </w:r>
          </w:p>
        </w:tc>
      </w:tr>
    </w:tbl>
    <w:p>
      <w:pPr>
        <w:pStyle w:val="Heading2"/>
      </w:pPr>
      <w:bookmarkStart w:id="16" w:name="_f30c8367bd5472a44345494ae856afd16efb80f"/>
      <w:r>
        <w:t xml:space="preserve">5. Privacy / PDPL control</w:t>
      </w:r>
    </w:p>
    <w:p>
      <w:pPr>
        <w:pStyle w:val="FirstParagraph"/>
      </w:pPr>
      <w:r>
        <w:t xml:space="preserve">The seven previously partial intelligence capabilities are now</w:t>
      </w:r>
      <w:r>
        <w:t xml:space="preserve"> </w:t>
      </w:r>
      <w:r>
        <w:rPr>
          <w:b/>
          <w:bCs/>
        </w:rPr>
        <w:t xml:space="preserve">ACTIVE + ENGINEERING-PROOF VERIFIED</w:t>
      </w:r>
      <w:r>
        <w:t xml:space="preserve"> </w:t>
      </w:r>
      <w:r>
        <w:t xml:space="preserve">in the canonical activation registry. Their services explicitly declare ACTIVE + READ_MODEL, decision_authority=canonical_decision_runtime, and read_only=True. This closes the engineering activation/proof gap only; production/provider/regulatory evidence remains separately governed.</w:t>
      </w:r>
    </w:p>
    <w:p>
      <w:pPr>
        <w:pStyle w:val="BodyText"/>
      </w:pPr>
      <w:r>
        <w:t xml:space="preserve">The ML model-governance control is now explicitly</w:t>
      </w:r>
      <w:r>
        <w:t xml:space="preserve"> </w:t>
      </w:r>
      <w:r>
        <w:rPr>
          <w:b/>
          <w:bCs/>
        </w:rPr>
        <w:t xml:space="preserve">ACTIVE</w:t>
      </w:r>
      <w:r>
        <w:t xml:space="preserve"> </w:t>
      </w:r>
      <w:r>
        <w:t xml:space="preserve">at the engineering-control layer when its validation/approval/monitoring record validates successfully. This does not constitute production model-risk approval, live registry evidence, or regulator approval.</w:t>
      </w:r>
    </w:p>
    <w:p>
      <w:pPr>
        <w:pStyle w:val="BodyText"/>
      </w:pPr>
      <w:r>
        <w:t xml:space="preserve">The repository contains an engineering PDPL baseline, but production privacy clearance is not inferred from code.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Required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minimization / synthetic demo boundary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in engineering baseline</w:t>
            </w:r>
          </w:p>
        </w:tc>
        <w:tc>
          <w:tcPr/>
          <w:p>
            <w:pPr>
              <w:pStyle w:val="Compact"/>
            </w:pPr>
            <w:r>
              <w:t xml:space="preserve">Demo isolation and synthetic-data boundary are enforced/documented.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HTTPS / transit protection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in application baseline; OPEN for target evidence</w:t>
            </w:r>
          </w:p>
        </w:tc>
        <w:tc>
          <w:tcPr/>
          <w:p>
            <w:pPr>
              <w:pStyle w:val="Compact"/>
            </w:pPr>
            <w:r>
              <w:t xml:space="preserve">Production endpoint configuration and target TLS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Database/storage/backup encryption enabled and evidenced in target environment.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KMS/HSM hierarchy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KMS/HSM ownership, key hierarchy, access boundary and audit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rotation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Documented rotation procedure plus executed rehearsal and recovery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Field-level encryption / tokenization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risk-based</w:t>
            </w:r>
          </w:p>
        </w:tc>
        <w:tc>
          <w:tcPr/>
          <w:p>
            <w:pPr>
              <w:pStyle w:val="Compact"/>
            </w:pPr>
            <w:r>
              <w:t xml:space="preserve">Data classification + risk assessment + selected-field control evidence where required.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encryption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Encrypted production backup configuration and retained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/ deletion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Approved retention schedule, deletion/secure-disposal evidence, legal holds, and operational execution.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ROPA / DPO / legal basis / transfers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Formal privacy/legal governance evidence before regulated customer processing.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Breach response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EXTERNAL</w:t>
            </w:r>
          </w:p>
        </w:tc>
        <w:tc>
          <w:tcPr/>
          <w:p>
            <w:pPr>
              <w:pStyle w:val="Compact"/>
            </w:pPr>
            <w:r>
              <w:t xml:space="preserve">Operational incident workflow, escalation ownership, evidence preservation and notification decision process.</w:t>
            </w:r>
          </w:p>
        </w:tc>
      </w:tr>
    </w:tbl>
    <w:p>
      <w:pPr>
        <w:pStyle w:val="Heading2"/>
      </w:pPr>
      <w:bookmarkStart w:id="17" w:name="_ece69c2b44a39519ca3447d8afe3f88ebff0870"/>
      <w:r>
        <w:t xml:space="preserve">6. Resilience / operations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Acceptance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backup/restore tooling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VERIFIED TOOLING</w:t>
            </w:r>
          </w:p>
        </w:tc>
        <w:tc>
          <w:tcPr/>
          <w:p>
            <w:pPr>
              <w:pStyle w:val="Compact"/>
            </w:pPr>
            <w:r>
              <w:t xml:space="preserve">Disposable backup/restore rehearsal exists and verifies integrity.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Production backup/restore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Production-target restore drill with measured recovery duration, RPO/RTO and retained receipt.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Disaster recovery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Isolated DR target, failover/recovery exercise and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/ SOC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Centralized security-event destination, alert delivery test, retention and accountable monitoring ownership.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incident response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EXTERNAL</w:t>
            </w:r>
          </w:p>
        </w:tc>
        <w:tc>
          <w:tcPr/>
          <w:p>
            <w:pPr>
              <w:pStyle w:val="Compact"/>
            </w:pPr>
            <w:r>
              <w:t xml:space="preserve">Operational SIEM/SOC delivery and retained incident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Engineering scan/remediation controls exist; operating SLA, ownership and retest evidence remain organizational controls.</w:t>
            </w:r>
          </w:p>
        </w:tc>
      </w:tr>
    </w:tbl>
    <w:p>
      <w:pPr>
        <w:pStyle w:val="Heading2"/>
      </w:pPr>
      <w:bookmarkStart w:id="18" w:name="_42d2e9c57144228359f52a081dcaa431616cb70"/>
      <w:r>
        <w:t xml:space="preserve">7. Executive release rule</w:t>
      </w:r>
    </w:p>
    <w:p>
      <w:pPr>
        <w:pStyle w:val="FirstParagraph"/>
      </w:pPr>
      <w:r>
        <w:t xml:space="preserve">No claim of</w:t>
      </w:r>
      <w:r>
        <w:t xml:space="preserve"> </w:t>
      </w:r>
      <w:r>
        <w:rPr>
          <w:b/>
          <w:bCs/>
        </w:rPr>
        <w:t xml:space="preserve">regulated-production readiness</w:t>
      </w:r>
      <w:r>
        <w:t xml:space="preserve"> </w:t>
      </w:r>
      <w:r>
        <w:t xml:space="preserve">is permitted solely from the green repository regression.</w:t>
      </w:r>
    </w:p>
    <w:p>
      <w:pPr>
        <w:pStyle w:val="BodyText"/>
      </w:pPr>
      <w:r>
        <w:t xml:space="preserve">The minimum external acceptance package remains:</w:t>
      </w:r>
    </w:p>
    <w:p>
      <w:pPr>
        <w:pStyle w:val="Compact"/>
        <w:numPr>
          <w:ilvl w:val="0"/>
          <w:numId w:val="1001"/>
        </w:numPr>
      </w:pPr>
      <w:r>
        <w:t xml:space="preserve">target encryption-at-rest evidence;</w:t>
      </w:r>
    </w:p>
    <w:p>
      <w:pPr>
        <w:pStyle w:val="Compact"/>
        <w:numPr>
          <w:ilvl w:val="0"/>
          <w:numId w:val="1001"/>
        </w:numPr>
      </w:pPr>
      <w:r>
        <w:t xml:space="preserve">KMS/HSM key hierarchy and rotation evidence;</w:t>
      </w:r>
    </w:p>
    <w:p>
      <w:pPr>
        <w:pStyle w:val="Compact"/>
        <w:numPr>
          <w:ilvl w:val="0"/>
          <w:numId w:val="1001"/>
        </w:numPr>
      </w:pPr>
      <w:r>
        <w:t xml:space="preserve">encrypted backup and restore drill;</w:t>
      </w:r>
    </w:p>
    <w:p>
      <w:pPr>
        <w:pStyle w:val="Compact"/>
        <w:numPr>
          <w:ilvl w:val="0"/>
          <w:numId w:val="1001"/>
        </w:numPr>
      </w:pPr>
      <w:r>
        <w:t xml:space="preserve">measured DR/RPO/RTO evidence;</w:t>
      </w:r>
    </w:p>
    <w:p>
      <w:pPr>
        <w:pStyle w:val="Compact"/>
        <w:numPr>
          <w:ilvl w:val="0"/>
          <w:numId w:val="1001"/>
        </w:numPr>
      </w:pPr>
      <w:r>
        <w:t xml:space="preserve">actionable SIEM/SOC delivery;</w:t>
      </w:r>
    </w:p>
    <w:p>
      <w:pPr>
        <w:pStyle w:val="Compact"/>
        <w:numPr>
          <w:ilvl w:val="0"/>
          <w:numId w:val="1001"/>
        </w:numPr>
      </w:pPr>
      <w:r>
        <w:t xml:space="preserve">approved PDPL inventory/ROPA/retention/transfer posture;</w:t>
      </w:r>
    </w:p>
    <w:p>
      <w:pPr>
        <w:pStyle w:val="Compact"/>
        <w:numPr>
          <w:ilvl w:val="0"/>
          <w:numId w:val="1001"/>
        </w:numPr>
      </w:pPr>
      <w:r>
        <w:t xml:space="preserve">independent penetration/adversarial assessment and remediation/retest;</w:t>
      </w:r>
    </w:p>
    <w:p>
      <w:pPr>
        <w:pStyle w:val="Compact"/>
        <w:numPr>
          <w:ilvl w:val="0"/>
          <w:numId w:val="1001"/>
        </w:numPr>
      </w:pPr>
      <w:r>
        <w:t xml:space="preserve">approved customer UAT/pilot and release authorization;</w:t>
      </w:r>
    </w:p>
    <w:p>
      <w:pPr>
        <w:pStyle w:val="Compact"/>
        <w:numPr>
          <w:ilvl w:val="0"/>
          <w:numId w:val="1001"/>
        </w:numPr>
      </w:pPr>
      <w:r>
        <w:t xml:space="preserve">applicable SAMA/customer third-party/outsourcing controls mapped and approved.</w:t>
      </w:r>
    </w:p>
    <w:p>
      <w:pPr>
        <w:pStyle w:val="Heading2"/>
      </w:pPr>
      <w:bookmarkStart w:id="19" w:name="_da68482c195e901c29e5c1baf9668e62ea4d416"/>
      <w:r>
        <w:t xml:space="preserve">8. Current engineering evidence boundary</w:t>
      </w:r>
    </w:p>
    <w:p>
      <w:pPr>
        <w:pStyle w:val="Compact"/>
        <w:numPr>
          <w:ilvl w:val="0"/>
          <w:numId w:val="1002"/>
        </w:numPr>
      </w:pPr>
      <w:r>
        <w:t xml:space="preserve">Last verified full regression baseline SHA:</w:t>
      </w:r>
      <w:r>
        <w:t xml:space="preserve"> </w:t>
      </w:r>
      <w:r>
        <w:rPr>
          <w:rStyle w:val="VerbatimChar"/>
        </w:rPr>
        <w:t xml:space="preserve">acfa3a8606f1227939e364f1a068eaeebf83f05f</w:t>
      </w:r>
    </w:p>
    <w:p>
      <w:pPr>
        <w:pStyle w:val="Compact"/>
        <w:numPr>
          <w:ilvl w:val="0"/>
          <w:numId w:val="1002"/>
        </w:numPr>
      </w:pPr>
      <w:r>
        <w:t xml:space="preserve">Last verified baseline:</w:t>
      </w:r>
      <w:r>
        <w:t xml:space="preserve"> </w:t>
      </w:r>
      <w:r>
        <w:rPr>
          <w:b/>
          <w:bCs/>
        </w:rPr>
        <w:t xml:space="preserve">892 collected / 892 passed / 0 failed / 0 errors</w:t>
      </w:r>
    </w:p>
    <w:p>
      <w:pPr>
        <w:pStyle w:val="Compact"/>
        <w:numPr>
          <w:ilvl w:val="0"/>
          <w:numId w:val="1002"/>
        </w:numPr>
      </w:pPr>
      <w:r>
        <w:t xml:space="preserve">Scoped engineering closure changes are now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and include</w:t>
      </w:r>
      <w:r>
        <w:t xml:space="preserve"> </w:t>
      </w:r>
      <w:r>
        <w:rPr>
          <w:rStyle w:val="VerbatimChar"/>
        </w:rPr>
        <w:t xml:space="preserve">src/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tests/</w:t>
      </w:r>
      <w:r>
        <w:t xml:space="preserve"> </w:t>
      </w:r>
      <w:r>
        <w:t xml:space="preserve">changes.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Fresh exact-head regression is REQUIRED before reissuing a current test count.</w:t>
      </w:r>
    </w:p>
    <w:p>
      <w:pPr>
        <w:pStyle w:val="Compact"/>
        <w:numPr>
          <w:ilvl w:val="0"/>
          <w:numId w:val="1002"/>
        </w:numPr>
      </w:pPr>
      <w:r>
        <w:t xml:space="preserve">No claim of a passing current-head regression is made by this document until that receipt exists.</w:t>
      </w:r>
    </w:p>
    <w:p>
      <w:pPr>
        <w:pStyle w:val="Heading2"/>
      </w:pPr>
      <w:bookmarkStart w:id="20" w:name="_d0cb0fe976345978a26da2d31cc17fa31dfab39"/>
      <w:r>
        <w:t xml:space="preserve">Executive conclusion</w:t>
      </w:r>
    </w:p>
    <w:p>
      <w:pPr>
        <w:pStyle w:val="FirstParagraph"/>
      </w:pPr>
      <w:r>
        <w:t xml:space="preserve">HISN’s code-level architecture is materially hardened: single decision authority, fail-closed provider boundaries, tenant isolation, governed ML, evidence/audit controls, and explicit buried-code non-resurrection rules are in place.</w:t>
      </w:r>
    </w:p>
    <w:p>
      <w:pPr>
        <w:pStyle w:val="BodyText"/>
      </w:pPr>
      <w:r>
        <w:t xml:space="preserve">The remaining P0/P1 items are predominantly</w:t>
      </w:r>
      <w:r>
        <w:t xml:space="preserve"> </w:t>
      </w:r>
      <w:r>
        <w:rPr>
          <w:b/>
          <w:bCs/>
        </w:rPr>
        <w:t xml:space="preserve">target-environment and organizational assurance controls</w:t>
      </w:r>
      <w:r>
        <w:t xml:space="preserve">, not invitations to create another runtime or another source of truth.</w:t>
      </w:r>
    </w:p>
    <w:p>
      <w:pPr>
        <w:pStyle w:val="BodyText"/>
      </w:pPr>
      <w:r>
        <w:rPr>
          <w:b/>
          <w:bCs/>
        </w:rPr>
        <w:t xml:space="preserve">Rule: do not close an external control with documentation alone. Close it only with the named acceptance evidence.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CTO CISO BANK GRADE CONTROL CLOSURE MATRIX 2026-10-07</dc:title>
  <dc:creator>HISN Platform</dc:creator>
  <cp:keywords>HISN, FCDOS, financial crime, decision operating system</cp:keywords>
  <dcterms:created xsi:type="dcterms:W3CDTF">2026-10-13T12:56:57Z</dcterms:created>
  <dcterms:modified xsi:type="dcterms:W3CDTF">2026-10-13T12:56:57Z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