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5a9e8d8f7fc34bb0830fc4356551906e6157630"/>
      <w:r>
        <w:t xml:space="preserve">HISN External Control Handoff — 2026-10-06</w:t>
      </w:r>
    </w:p>
    <w:p>
      <w:pPr>
        <w:pStyle w:val="Heading2"/>
      </w:pPr>
      <w:bookmarkStart w:id="10" w:name="_purpose"/>
      <w:r>
        <w:t xml:space="preserve">Purpose</w:t>
      </w:r>
    </w:p>
    <w:p>
      <w:pPr>
        <w:pStyle w:val="FirstParagraph"/>
      </w:pPr>
      <w:r>
        <w:t xml:space="preserve">Formal handoff for P0 controls whose closure requires legal, procurement or independent third-party evidence.</w:t>
      </w:r>
    </w:p>
    <w:p>
      <w:pPr>
        <w:pStyle w:val="Heading2"/>
      </w:pPr>
      <w:bookmarkStart w:id="11" w:name="_f51b9a1cd6986ffd2c869dfad2dceb3244abb25"/>
      <w:r>
        <w:t xml:space="preserve">P0-09 — PDPL / ROPA / DPO / Retention / Cross-Border</w:t>
      </w:r>
    </w:p>
    <w:p>
      <w:pPr>
        <w:pStyle w:val="FirstParagraph"/>
      </w:pPr>
      <w:r>
        <w:rPr>
          <w:b/>
          <w:bCs/>
        </w:rPr>
        <w:t xml:space="preserve">Owner:</w:t>
      </w:r>
      <w:r>
        <w:t xml:space="preserve"> </w:t>
      </w:r>
      <w:r>
        <w:t xml:space="preserve">Legal + Privacy/DPO function (where required)</w:t>
      </w:r>
      <w:r>
        <w:br/>
      </w:r>
      <w:r>
        <w:rPr>
          <w:b/>
          <w:bCs/>
        </w:rPr>
        <w:t xml:space="preserve">Engineering input delivered:</w:t>
      </w:r>
      <w:r>
        <w:t xml:space="preserve"> </w:t>
      </w:r>
      <w:r>
        <w:t xml:space="preserve">PDPL operational closure pack, data-boundary architecture, data classification foundations, security controls and deployment evidence.</w:t>
      </w:r>
      <w:r>
        <w:br/>
      </w:r>
      <w:r>
        <w:rPr>
          <w:b/>
          <w:bCs/>
        </w:rPr>
        <w:t xml:space="preserve">Required closure evidence:</w:t>
      </w:r>
      <w:r>
        <w:t xml:space="preserve"> </w:t>
      </w:r>
      <w:r>
        <w:t xml:space="preserve">approved data inventory/classification, ROPA, lawful basis mapping, retention/deletion schedule, DPO determination/appointment where required, transfer register/assessment, data-subject rights process, breach response procedure, processor/vendor controls.</w:t>
      </w:r>
    </w:p>
    <w:p>
      <w:pPr>
        <w:pStyle w:val="BodyText"/>
      </w:pPr>
      <w:r>
        <w:t xml:space="preserve">SDAIA guidance states that organizations should maintain records of processing activities and, where applicable, appoint a DPO; its Implementing Regulation specifies the minimum ROPA elements and requires the records to remain accurate and up to date. citeturn237640search7turn237640search0</w:t>
      </w:r>
    </w:p>
    <w:p>
      <w:pPr>
        <w:pStyle w:val="Heading2"/>
      </w:pPr>
      <w:bookmarkStart w:id="12" w:name="_8041d7e952204ce8630065f040fee5533fe4343"/>
      <w:r>
        <w:t xml:space="preserve">P0-12 — Independent External Penetration Test</w:t>
      </w:r>
    </w:p>
    <w:p>
      <w:pPr>
        <w:pStyle w:val="FirstParagraph"/>
      </w:pPr>
      <w:r>
        <w:rPr>
          <w:b/>
          <w:bCs/>
        </w:rPr>
        <w:t xml:space="preserve">Owner:</w:t>
      </w:r>
      <w:r>
        <w:t xml:space="preserve"> </w:t>
      </w:r>
      <w:r>
        <w:t xml:space="preserve">CISO office + Procurement / independent security assessor</w:t>
      </w:r>
      <w:r>
        <w:br/>
      </w:r>
      <w:r>
        <w:rPr>
          <w:b/>
          <w:bCs/>
        </w:rPr>
        <w:t xml:space="preserve">Engineering input delivered:</w:t>
      </w:r>
      <w:r>
        <w:t xml:space="preserve"> </w:t>
      </w:r>
      <w:r>
        <w:t xml:space="preserve">exact-head security assurance, AML assurance, Gate 8 supply-chain evidence, authorization/SoD hardening, current production deployment evidence.</w:t>
      </w:r>
      <w:r>
        <w:br/>
      </w:r>
      <w:r>
        <w:rPr>
          <w:b/>
          <w:bCs/>
        </w:rPr>
        <w:t xml:space="preserve">Required closure evidence:</w:t>
      </w:r>
      <w:r>
        <w:t xml:space="preserve"> </w:t>
      </w:r>
      <w:r>
        <w:t xml:space="preserve">independent scope and rules of engagement, severity-ranked findings, remediation evidence, retest and residual-risk acceptance.</w:t>
      </w:r>
    </w:p>
    <w:p>
      <w:pPr>
        <w:pStyle w:val="Heading2"/>
      </w:pPr>
      <w:bookmarkStart w:id="13" w:name="_0e29855b141b6b2c7b8b8ab9979e6f4c9d9ea81"/>
      <w:r>
        <w:t xml:space="preserve">Governance rule</w:t>
      </w:r>
    </w:p>
    <w:p>
      <w:pPr>
        <w:pStyle w:val="FirstParagraph"/>
      </w:pPr>
      <w:r>
        <w:t xml:space="preserve">No internal evidence is presented as independent assurance. The handoff is complete only when the receiving owner acknowledges ownership and the final evidence package is retained.</w:t>
      </w:r>
    </w:p>
    <w:p>
      <w:pPr>
        <w:pStyle w:val="Heading2"/>
      </w:pPr>
      <w:bookmarkStart w:id="14" w:name="_e0f36ef6956e6b8a56916c44b96c96a9bc1b6c5"/>
      <w:r>
        <w:t xml:space="preserve">Acceptance block</w:t>
      </w:r>
    </w:p>
    <w:p>
      <w:pPr>
        <w:pStyle w:val="FirstParagraph"/>
      </w:pPr>
      <w:r>
        <w:t xml:space="preserve">Legal / Privacy owner: ____________________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Procurement / Independent assurance owner: ____________________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EXTERNAL CONTROL HANDOFF 2026-10-06</dc:title>
  <dc:creator>HISN Platform</dc:creator>
  <cp:keywords>HISN, FCDOS, financial crime, decision operating system</cp:keywords>
  <dcterms:created xsi:type="dcterms:W3CDTF">2026-10-13T12:56:57Z</dcterms:created>
  <dcterms:modified xsi:type="dcterms:W3CDTF">2026-10-13T12:56:57Z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