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c6fdbc571e1251097c9d810bfec7fa608111c70"/>
      <w:r>
        <w:t xml:space="preserve">HISN Production Database Role Separation — 2026-09-30</w:t>
      </w:r>
    </w:p>
    <w:p>
      <w:pPr>
        <w:pStyle w:val="Heading2"/>
      </w:pPr>
      <w:bookmarkStart w:id="10" w:name="_14e557c695698b4123f14d97e0c215022543661"/>
      <w:r>
        <w:t xml:space="preserve">Control objective</w:t>
      </w:r>
    </w:p>
    <w:p>
      <w:pPr>
        <w:pStyle w:val="FirstParagraph"/>
      </w:pPr>
      <w:r>
        <w:t xml:space="preserve">The web runtime must never connect to PostgreSQL as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or any role with</w:t>
      </w:r>
      <w:r>
        <w:t xml:space="preserve"> </w:t>
      </w:r>
      <w:r>
        <w:rPr>
          <w:rStyle w:val="VerbatimChar"/>
        </w:rPr>
        <w:t xml:space="preserve">SUPERUSER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BYPASSRLS</w:t>
      </w:r>
      <w:r>
        <w:t xml:space="preserve">. Tenant isolation is a database control and must</w:t>
      </w:r>
      <w:r>
        <w:t xml:space="preserve"> </w:t>
      </w:r>
      <w:r>
        <w:t xml:space="preserve">remain effective even when an application query omits its own tenant predicate.</w:t>
      </w:r>
    </w:p>
    <w:p>
      <w:pPr>
        <w:pStyle w:val="BodyText"/>
      </w:pPr>
      <w:r>
        <w:t xml:space="preserve">This remediation establishes four distinct concepts: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760"/>
        <w:gridCol w:w="1760"/>
        <w:gridCol w:w="176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Login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SUPERUSER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BYPASSRLS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hisn_runtime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web/API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hisn_migrator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deployment/migration entrypoint; NOINHERIT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hisn_app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canonical application privilege group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hisn_owner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application schema/object owner</w:t>
            </w:r>
          </w:p>
        </w:tc>
      </w:tr>
    </w:tbl>
    <w:p>
      <w:pPr>
        <w:pStyle w:val="FirstParagraph"/>
      </w:pPr>
      <w:r>
        <w:t xml:space="preserve">The runtime login inherits</w:t>
      </w:r>
      <w:r>
        <w:t xml:space="preserve"> </w:t>
      </w:r>
      <w:r>
        <w:rPr>
          <w:rStyle w:val="VerbatimChar"/>
        </w:rPr>
        <w:t xml:space="preserve">hisn_app</w:t>
      </w:r>
      <w:r>
        <w:t xml:space="preserve">. The migration login may</w:t>
      </w:r>
      <w:r>
        <w:t xml:space="preserve"> </w:t>
      </w:r>
      <w:r>
        <w:rPr>
          <w:rStyle w:val="VerbatimChar"/>
        </w:rPr>
        <w:t xml:space="preserve">SET ROLE hisn_owner</w:t>
      </w:r>
      <w:r>
        <w:t xml:space="preserve">. The migration owner is protected by an explicit maintenance-only</w:t>
      </w:r>
      <w:r>
        <w:t xml:space="preserve"> </w:t>
      </w:r>
      <w:r>
        <w:t xml:space="preserve">RLS policy rather than PostgreSQL</w:t>
      </w:r>
      <w:r>
        <w:t xml:space="preserve"> </w:t>
      </w:r>
      <w:r>
        <w:rPr>
          <w:rStyle w:val="VerbatimChar"/>
        </w:rPr>
        <w:t xml:space="preserve">BYPASSRLS</w:t>
      </w:r>
      <w:r>
        <w:t xml:space="preserve">.</w:t>
      </w:r>
    </w:p>
    <w:p>
      <w:pPr>
        <w:pStyle w:val="Heading2"/>
      </w:pPr>
      <w:bookmarkStart w:id="11" w:name="_45f6d628374d84a930bdcc33a952a4321889a4c"/>
      <w:r>
        <w:t xml:space="preserve">Repository controls implemented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src/config/security.py</w:t>
      </w:r>
      <w:r>
        <w:t xml:space="preserve"> </w:t>
      </w:r>
      <w:r>
        <w:t xml:space="preserve">separates runtime and migration DB configuration</w:t>
      </w:r>
      <w:r>
        <w:t xml:space="preserve"> </w:t>
      </w:r>
      <w:r>
        <w:t xml:space="preserve">and requires explicit production role names.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src/infrastructure/database.py</w:t>
      </w:r>
      <w:r>
        <w:t xml:space="preserve"> </w:t>
      </w:r>
      <w:r>
        <w:t xml:space="preserve">uses the runtime DB URL contract.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scripts/ensure_runtime_schema.py</w:t>
      </w:r>
      <w:r>
        <w:t xml:space="preserve"> </w:t>
      </w:r>
      <w:r>
        <w:t xml:space="preserve">fails closed when the live DB session is</w:t>
      </w:r>
      <w:r>
        <w:t xml:space="preserve"> </w:t>
      </w:r>
      <w:r>
        <w:t xml:space="preserve">superuser, bypasses RLS, is not a LOGIN role, or does not match the configured</w:t>
      </w:r>
      <w:r>
        <w:t xml:space="preserve"> </w:t>
      </w:r>
      <w:r>
        <w:t xml:space="preserve">runtime role.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database/migrate.py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MIGRATION_DATABASE_URL</w:t>
      </w:r>
      <w:r>
        <w:t xml:space="preserve"> </w:t>
      </w:r>
      <w:r>
        <w:t xml:space="preserve">and can explicitly</w:t>
      </w:r>
      <w:r>
        <w:t xml:space="preserve"> </w:t>
      </w:r>
      <w:r>
        <w:rPr>
          <w:rStyle w:val="VerbatimChar"/>
        </w:rPr>
        <w:t xml:space="preserve">SET ROLE hisn_owner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database/schema/20-application/212_runtime_security_contract.sql</w:t>
      </w:r>
      <w:r>
        <w:t xml:space="preserve"> </w:t>
      </w:r>
      <w:r>
        <w:t xml:space="preserve">establishes runtime privileges, future default privileges, and a maintenance</w:t>
      </w:r>
      <w:r>
        <w:t xml:space="preserve"> </w:t>
      </w:r>
      <w:r>
        <w:t xml:space="preserve">RLS policy for the NOLOGIN migration owner.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scripts/security/provision_database_roles.py</w:t>
      </w:r>
      <w:r>
        <w:t xml:space="preserve"> </w:t>
      </w:r>
      <w:r>
        <w:t xml:space="preserve">is the one-time administrative</w:t>
      </w:r>
      <w:r>
        <w:t xml:space="preserve"> </w:t>
      </w:r>
      <w:r>
        <w:t xml:space="preserve">bootstrap for login roles and object ownership. It never reuses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 </w:t>
      </w:r>
      <w:r>
        <w:t xml:space="preserve">as an implicit fallback. Every invocation requires an explicit</w:t>
      </w:r>
      <w:r>
        <w:t xml:space="preserve"> </w:t>
      </w:r>
      <w:r>
        <w:rPr>
          <w:rStyle w:val="VerbatimChar"/>
        </w:rPr>
        <w:t xml:space="preserve">--environment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--expected-host</w:t>
      </w:r>
      <w:r>
        <w:t xml:space="preserve">, and exactly one of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--apply</w:t>
      </w:r>
      <w:r>
        <w:t xml:space="preserve">. The known production Railway hostname is rejected for non-production</w:t>
      </w:r>
      <w:r>
        <w:t xml:space="preserve"> </w:t>
      </w:r>
      <w:r>
        <w:t xml:space="preserve">targets; production mode accepts only that exact verified hostname and additionally</w:t>
      </w:r>
      <w:r>
        <w:t xml:space="preserve"> </w:t>
      </w:r>
      <w:r>
        <w:t xml:space="preserve">requires</w:t>
      </w:r>
      <w:r>
        <w:t xml:space="preserve"> </w:t>
      </w:r>
      <w:r>
        <w:rPr>
          <w:rStyle w:val="VerbatimChar"/>
        </w:rPr>
        <w:t xml:space="preserve">--allow-production</w:t>
      </w:r>
      <w:r>
        <w:t xml:space="preserve"> </w:t>
      </w:r>
      <w:r>
        <w:t xml:space="preserve">and an exact</w:t>
      </w:r>
      <w:r>
        <w:t xml:space="preserve"> </w:t>
      </w:r>
      <w:r>
        <w:rPr>
          <w:rStyle w:val="VerbatimChar"/>
        </w:rPr>
        <w:t xml:space="preserve">--confirm-production</w:t>
      </w:r>
      <w:r>
        <w:t xml:space="preserve"> </w:t>
      </w:r>
      <w:r>
        <w:t xml:space="preserve">database-name</w:t>
      </w:r>
      <w:r>
        <w:t xml:space="preserve"> </w:t>
      </w:r>
      <w:r>
        <w:t xml:space="preserve">match. Dry-run performs all role/ownership statements inside a transaction and</w:t>
      </w:r>
      <w:r>
        <w:t xml:space="preserve"> </w:t>
      </w:r>
      <w:r>
        <w:t xml:space="preserve">rolls it back. Database names are bound to the declared environment: Local uses</w:t>
      </w:r>
      <w:r>
        <w:t xml:space="preserve"> </w:t>
      </w:r>
      <w:r>
        <w:rPr>
          <w:rStyle w:val="VerbatimChar"/>
        </w:rPr>
        <w:t xml:space="preserve">hisn_db</w:t>
      </w:r>
      <w:r>
        <w:t xml:space="preserve">, Test uses</w:t>
      </w:r>
      <w:r>
        <w:t xml:space="preserve"> </w:t>
      </w:r>
      <w:r>
        <w:rPr>
          <w:rStyle w:val="VerbatimChar"/>
        </w:rPr>
        <w:t xml:space="preserve">hisn_assurance</w:t>
      </w:r>
      <w:r>
        <w:t xml:space="preserve">, and Staging/Production use</w:t>
      </w:r>
      <w:r>
        <w:t xml:space="preserve"> </w:t>
      </w:r>
      <w:r>
        <w:rPr>
          <w:rStyle w:val="VerbatimChar"/>
        </w:rPr>
        <w:t xml:space="preserve">railway</w:t>
      </w:r>
      <w:r>
        <w:t xml:space="preserve">. The approved host is bound to</w:t>
      </w:r>
      <w:r>
        <w:t xml:space="preserve"> </w:t>
      </w:r>
      <w:r>
        <w:t xml:space="preserve">the declared environment:</w:t>
      </w:r>
      <w:r>
        <w:t xml:space="preserve"> </w:t>
      </w:r>
      <w:r>
        <w:t xml:space="preserve">local/test use loopback only, Staging accepts only</w:t>
      </w:r>
      <w:r>
        <w:t xml:space="preserve"> </w:t>
      </w:r>
      <w:r>
        <w:rPr>
          <w:rStyle w:val="VerbatimChar"/>
        </w:rPr>
        <w:t xml:space="preserve">postgres-dj4w.railway.internal</w:t>
      </w:r>
      <w:r>
        <w:t xml:space="preserve">, and production accepts only</w:t>
      </w:r>
      <w:r>
        <w:t xml:space="preserve"> </w:t>
      </w:r>
      <w:r>
        <w:rPr>
          <w:rStyle w:val="VerbatimChar"/>
        </w:rPr>
        <w:t xml:space="preserve">postgres.railway.internal</w:t>
      </w:r>
      <w:r>
        <w:t xml:space="preserve">. A local</w:t>
      </w:r>
      <w:r>
        <w:t xml:space="preserve"> </w:t>
      </w:r>
      <w:r>
        <w:rPr>
          <w:rStyle w:val="VerbatimChar"/>
        </w:rPr>
        <w:t xml:space="preserve">railway connect --ssh</w:t>
      </w:r>
      <w:r>
        <w:t xml:space="preserve"> </w:t>
      </w:r>
      <w:r>
        <w:t xml:space="preserve">tunnel is</w:t>
      </w:r>
      <w:r>
        <w:t xml:space="preserve"> </w:t>
      </w:r>
      <w:r>
        <w:t xml:space="preserve">intentionally rejected for Staging because the PostgreSQL URL exposes only</w:t>
      </w:r>
      <w:r>
        <w:t xml:space="preserve"> </w:t>
      </w:r>
      <w:r>
        <w:t xml:space="preserve">the local endpoint, not the remote Railway service identity. Do not change</w:t>
      </w:r>
      <w:r>
        <w:t xml:space="preserve"> </w:t>
      </w:r>
      <w:r>
        <w:rPr>
          <w:rStyle w:val="VerbatimChar"/>
        </w:rPr>
        <w:t xml:space="preserve">--expected-host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to bypass this gate. Use a target-verified</w:t>
      </w:r>
      <w:r>
        <w:t xml:space="preserve"> </w:t>
      </w:r>
      <w:r>
        <w:t xml:space="preserve">Staging runtime or implement Railway-bound tunnel attestation before</w:t>
      </w:r>
      <w:r>
        <w:t xml:space="preserve"> </w:t>
      </w:r>
      <w:r>
        <w:t xml:space="preserve">administrative execution. These checks are defense-in-depth; they do not</w:t>
      </w:r>
      <w:r>
        <w:t xml:space="preserve"> </w:t>
      </w:r>
      <w:r>
        <w:t xml:space="preserve">replace read-back of the actual Railway project, environment, and service.</w:t>
      </w:r>
    </w:p>
    <w:p>
      <w:pPr>
        <w:pStyle w:val="Compact"/>
        <w:numPr>
          <w:ilvl w:val="0"/>
          <w:numId w:val="1001"/>
        </w:numPr>
      </w:pPr>
      <w:r>
        <w:t xml:space="preserve">The terminal assurance script proves the runtime DB session is LOGIN,</w:t>
      </w:r>
      <w:r>
        <w:t xml:space="preserve"> </w:t>
      </w:r>
      <w:r>
        <w:t xml:space="preserve">NOSUPERUSER, and NOBYPASSRLS.</w:t>
      </w:r>
    </w:p>
    <w:p>
      <w:pPr>
        <w:pStyle w:val="Heading2"/>
      </w:pPr>
      <w:bookmarkStart w:id="12" w:name="_24144ab5a37bc314ad7319ed4a9532db8290b19"/>
      <w:r>
        <w:t xml:space="preserve">Production cutover order</w:t>
      </w:r>
    </w:p>
    <w:p>
      <w:pPr>
        <w:pStyle w:val="FirstParagraph"/>
      </w:pPr>
      <w:r>
        <w:t xml:space="preserve">Do not change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 </w:t>
      </w:r>
      <w:r>
        <w:t xml:space="preserve">first.</w:t>
      </w:r>
    </w:p>
    <w:p>
      <w:pPr>
        <w:pStyle w:val="FirstParagraph"/>
        <w:numPr>
          <w:ilvl w:val="0"/>
          <w:numId w:val="1002"/>
        </w:numPr>
      </w:pPr>
      <w:r>
        <w:t xml:space="preserve">With approved production connection variables already set in the shell,</w:t>
      </w:r>
      <w:r>
        <w:t xml:space="preserve"> </w:t>
      </w:r>
      <w:r>
        <w:t xml:space="preserve">run the rollback-only rehearsal:</w:t>
      </w:r>
    </w:p>
    <w:p>
      <w:pPr>
        <w:pStyle w:val="SourceCode"/>
        <w:numPr>
          <w:ilvl w:val="0"/>
          <w:numId w:val="1000"/>
        </w:numPr>
      </w:pPr>
      <w:r>
        <w:rPr>
          <w:rStyle w:val="ExtensionTok"/>
        </w:rPr>
        <w:t xml:space="preserve">.venv/bin/python</w:t>
      </w:r>
      <w:r>
        <w:rPr>
          <w:rStyle w:val="NormalTok"/>
        </w:rPr>
        <w:t xml:space="preserve"> scripts/security/provision_database_roles.py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--environment</w:t>
      </w:r>
      <w:r>
        <w:rPr>
          <w:rStyle w:val="NormalTok"/>
        </w:rPr>
        <w:t xml:space="preserve"> production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--expected-host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$PROD_DB_HOST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--allow-production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--confirm-production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$PROD_DB_NAME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--dry-run</w:t>
      </w:r>
    </w:p>
    <w:p>
      <w:pPr>
        <w:pStyle w:val="FirstParagraph"/>
        <w:numPr>
          <w:ilvl w:val="0"/>
          <w:numId w:val="1000"/>
        </w:numPr>
      </w:pPr>
      <w:r>
        <w:t xml:space="preserve">The only production hostname accepted by the current guard is</w:t>
      </w:r>
      <w:r>
        <w:t xml:space="preserve"> </w:t>
      </w:r>
      <w:r>
        <w:rPr>
          <w:rStyle w:val="VerbatimChar"/>
        </w:rPr>
        <w:t xml:space="preserve">postgres.railway.internal</w:t>
      </w:r>
      <w:r>
        <w:t xml:space="preserve">; aliases and localhost tunnels fail closed.</w:t>
      </w:r>
      <w:r>
        <w:t xml:space="preserve"> </w:t>
      </w:r>
      <w:r>
        <w:t xml:space="preserve">Verify the target and database name independently, then review the dry-run</w:t>
      </w:r>
      <w:r>
        <w:t xml:space="preserve"> </w:t>
      </w:r>
      <w:r>
        <w:t xml:space="preserve">output. Only after separate production-change approval, repeat the command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--apply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. Never use production mode to bootstrap</w:t>
      </w:r>
      <w:r>
        <w:t xml:space="preserve"> </w:t>
      </w:r>
      <w:r>
        <w:t xml:space="preserve">Staging. For Staging, specify</w:t>
      </w:r>
      <w:r>
        <w:t xml:space="preserve"> </w:t>
      </w:r>
      <w:r>
        <w:rPr>
          <w:rStyle w:val="VerbatimChar"/>
        </w:rPr>
        <w:t xml:space="preserve">--environment staging</w:t>
      </w:r>
      <w:r>
        <w:t xml:space="preserve">,</w:t>
      </w:r>
      <w:r>
        <w:t xml:space="preserve"> </w:t>
      </w:r>
      <w:r>
        <w:rPr>
          <w:rStyle w:val="VerbatimChar"/>
        </w:rPr>
        <w:t xml:space="preserve">--expected-host postgres-dj4w.railway.internal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first.</w:t>
      </w:r>
      <w:r>
        <w:t xml:space="preserve"> </w:t>
      </w:r>
      <w:r>
        <w:t xml:space="preserve">A localhost SSH tunnel is deliberately not accepted as evidence of the</w:t>
      </w:r>
      <w:r>
        <w:t xml:space="preserve"> </w:t>
      </w:r>
      <w:r>
        <w:t xml:space="preserve">remote environment; run the script from a target-verified Staging runtime</w:t>
      </w:r>
      <w:r>
        <w:t xml:space="preserve"> </w:t>
      </w:r>
      <w:r>
        <w:t xml:space="preserve">until a separate Railway-bound tunnel attestation is implemented.</w:t>
      </w:r>
    </w:p>
    <w:p>
      <w:pPr>
        <w:pStyle w:val="FirstParagraph"/>
        <w:numPr>
          <w:ilvl w:val="0"/>
          <w:numId w:val="1002"/>
        </w:numPr>
      </w:pPr>
      <w:r>
        <w:t xml:space="preserve">Set the production application variables:</w:t>
      </w: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DATABASE_URL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hisn_runtime</w:t>
      </w: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HISN_RUNTIME_DB_ROLE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hisn_runtime</w:t>
      </w: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MIGRATION_DATABASE_URL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hisn_migrator</w:t>
      </w: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HISN_MIGRATION_DB_ROLE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hisn_migrator</w:t>
      </w:r>
    </w:p>
    <w:p>
      <w:pPr>
        <w:pStyle w:val="Compact"/>
        <w:numPr>
          <w:ilvl w:val="1"/>
          <w:numId w:val="1003"/>
        </w:numPr>
      </w:pPr>
      <w:r>
        <w:rPr>
          <w:rStyle w:val="VerbatimChar"/>
        </w:rPr>
        <w:t xml:space="preserve">HISN_MIGRATION_EFFECTIVE_ROLE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hisn_owner</w:t>
      </w:r>
    </w:p>
    <w:p>
      <w:pPr>
        <w:pStyle w:val="FirstParagraph"/>
        <w:numPr>
          <w:ilvl w:val="0"/>
          <w:numId w:val="1002"/>
        </w:numPr>
      </w:pPr>
      <w:r>
        <w:t xml:space="preserve">Deploy the branch/merged commit.</w:t>
      </w:r>
    </w:p>
    <w:p>
      <w:pPr>
        <w:pStyle w:val="FirstParagraph"/>
        <w:numPr>
          <w:ilvl w:val="0"/>
          <w:numId w:val="1002"/>
        </w:numPr>
      </w:pPr>
      <w:r>
        <w:t xml:space="preserve">Verify the new deployment reaches SUCCESS.</w:t>
      </w:r>
    </w:p>
    <w:p>
      <w:pPr>
        <w:pStyle w:val="FirstParagraph"/>
        <w:numPr>
          <w:ilvl w:val="0"/>
          <w:numId w:val="1002"/>
        </w:numPr>
      </w:pPr>
      <w:r>
        <w:t xml:space="preserve">Verify</w:t>
      </w:r>
      <w:r>
        <w:t xml:space="preserve"> </w:t>
      </w:r>
      <w:r>
        <w:rPr>
          <w:rStyle w:val="VerbatimChar"/>
        </w:rPr>
        <w:t xml:space="preserve">/health</w:t>
      </w:r>
      <w:r>
        <w:t xml:space="preserve">.</w:t>
      </w:r>
    </w:p>
    <w:p>
      <w:pPr>
        <w:pStyle w:val="FirstParagraph"/>
        <w:numPr>
          <w:ilvl w:val="0"/>
          <w:numId w:val="1002"/>
        </w:numPr>
      </w:pPr>
      <w:r>
        <w:t xml:space="preserve">Verify the running runtime DB session with the read-only role evidence</w:t>
      </w:r>
      <w:r>
        <w:t xml:space="preserve"> </w:t>
      </w:r>
      <w:r>
        <w:t xml:space="preserve">described below.</w:t>
      </w:r>
    </w:p>
    <w:p>
      <w:pPr>
        <w:pStyle w:val="FirstParagraph"/>
        <w:numPr>
          <w:ilvl w:val="0"/>
          <w:numId w:val="1002"/>
        </w:numPr>
      </w:pPr>
      <w:r>
        <w:t xml:space="preserve">Run the tenant-isolation and security-focused assurance suites.</w:t>
      </w:r>
    </w:p>
    <w:p>
      <w:pPr>
        <w:pStyle w:val="FirstParagraph"/>
        <w:numPr>
          <w:ilvl w:val="0"/>
          <w:numId w:val="1002"/>
        </w:numPr>
      </w:pPr>
      <w:r>
        <w:t xml:space="preserve">Only after those checks pass, rotate the exposed legacy database/JWT/WAL</w:t>
      </w:r>
      <w:r>
        <w:t xml:space="preserve"> </w:t>
      </w:r>
      <w:r>
        <w:t xml:space="preserve">credentials and remove any obsolete production variables.</w:t>
      </w:r>
    </w:p>
    <w:p>
      <w:pPr>
        <w:pStyle w:val="Heading2"/>
      </w:pPr>
      <w:bookmarkStart w:id="13" w:name="_a1c99bef9f8a6f83fc5548e4e62f339a01c0b68"/>
      <w:r>
        <w:t xml:space="preserve">Required production read-back</w:t>
      </w:r>
    </w:p>
    <w:p>
      <w:pPr>
        <w:pStyle w:val="FirstParagraph"/>
      </w:pPr>
      <w:r>
        <w:t xml:space="preserve">From a read-only administrative connection:</w:t>
      </w:r>
    </w:p>
    <w:p>
      <w:pPr>
        <w:pStyle w:val="SourceCode"/>
      </w:pPr>
      <w:r>
        <w:rPr>
          <w:rStyle w:val="KeywordTok"/>
        </w:rPr>
        <w:t xml:space="preserve">SELECT</w:t>
      </w:r>
      <w:r>
        <w:br/>
      </w:r>
      <w:r>
        <w:rPr>
          <w:rStyle w:val="NormalTok"/>
        </w:rPr>
        <w:t xml:space="preserve">    rolname,</w:t>
      </w:r>
      <w:r>
        <w:br/>
      </w:r>
      <w:r>
        <w:rPr>
          <w:rStyle w:val="NormalTok"/>
        </w:rPr>
        <w:t xml:space="preserve">    rolsuper,</w:t>
      </w:r>
      <w:r>
        <w:br/>
      </w:r>
      <w:r>
        <w:rPr>
          <w:rStyle w:val="NormalTok"/>
        </w:rPr>
        <w:t xml:space="preserve">    rolbypassrls,</w:t>
      </w:r>
      <w:r>
        <w:br/>
      </w:r>
      <w:r>
        <w:rPr>
          <w:rStyle w:val="NormalTok"/>
        </w:rPr>
        <w:t xml:space="preserve">    rolcanlogin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pg_roles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rolname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'hisn_runtime'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'hisn_migrator'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'hisn_app'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'hisn_owner'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rolname;</w:t>
      </w:r>
    </w:p>
    <w:p>
      <w:pPr>
        <w:pStyle w:val="FirstParagraph"/>
      </w:pPr>
      <w:r>
        <w:t xml:space="preserve">Expected security posture: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hisn_runtime</w:t>
      </w:r>
      <w:r>
        <w:t xml:space="preserve">: LOGIN + NOSUPERUSER + NOBYPASSRLS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hisn_migrator</w:t>
      </w:r>
      <w:r>
        <w:t xml:space="preserve">: LOGIN + NOINHERIT + NOSUPERUSER + NOBYPASSRLS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hisn_app</w:t>
      </w:r>
      <w:r>
        <w:t xml:space="preserve">: NOLOGIN + NOSUPERUSER + NOBYPASSRLS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hisn_owner</w:t>
      </w:r>
      <w:r>
        <w:t xml:space="preserve">: NOLOGIN + NOSUPERUSER + NOBYPASSRLS</w:t>
      </w:r>
    </w:p>
    <w:p>
      <w:pPr>
        <w:pStyle w:val="FirstParagraph"/>
      </w:pPr>
      <w:r>
        <w:t xml:space="preserve">Runtime session proof: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current_user, session_user;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rolsuper, rolbypassrls, rolcanlogin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pg_roles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rolname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current_user;</w:t>
      </w:r>
    </w:p>
    <w:p>
      <w:pPr>
        <w:pStyle w:val="FirstParagraph"/>
      </w:pPr>
      <w:r>
        <w:t xml:space="preserve">Expected:</w:t>
      </w:r>
    </w:p>
    <w:p>
      <w:pPr>
        <w:pStyle w:val="SourceCode"/>
      </w:pPr>
      <w:r>
        <w:rPr>
          <w:rStyle w:val="VerbatimChar"/>
        </w:rPr>
        <w:t xml:space="preserve">current_user = hisn_runtime</w:t>
      </w:r>
      <w:r>
        <w:br/>
      </w:r>
      <w:r>
        <w:rPr>
          <w:rStyle w:val="VerbatimChar"/>
        </w:rPr>
        <w:t xml:space="preserve">session_user = hisn_runtime</w:t>
      </w:r>
      <w:r>
        <w:br/>
      </w:r>
      <w:r>
        <w:rPr>
          <w:rStyle w:val="VerbatimChar"/>
        </w:rPr>
        <w:t xml:space="preserve">rolsuper = false</w:t>
      </w:r>
      <w:r>
        <w:br/>
      </w:r>
      <w:r>
        <w:rPr>
          <w:rStyle w:val="VerbatimChar"/>
        </w:rPr>
        <w:t xml:space="preserve">rolbypassrls = false</w:t>
      </w:r>
      <w:r>
        <w:br/>
      </w:r>
      <w:r>
        <w:rPr>
          <w:rStyle w:val="VerbatimChar"/>
        </w:rPr>
        <w:t xml:space="preserve">rolcanlogin = true</w:t>
      </w:r>
    </w:p>
    <w:p>
      <w:pPr>
        <w:pStyle w:val="Heading2"/>
      </w:pPr>
      <w:bookmarkStart w:id="14" w:name="_76ce5cbb37e5cafb4a6fa3b9949ca9ef678cb8b"/>
      <w:r>
        <w:t xml:space="preserve">Migration audit</w:t>
      </w:r>
    </w:p>
    <w:p>
      <w:pPr>
        <w:pStyle w:val="FirstParagraph"/>
      </w:pPr>
      <w:r>
        <w:t xml:space="preserve">After the first migration executed with the dedicated migration identity: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migration_id, filename, executed_by, executed_at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hisn.migration_history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migration_id </w:t>
      </w:r>
      <w:r>
        <w:rPr>
          <w:rStyle w:val="KeywordTok"/>
        </w:rPr>
        <w:t xml:space="preserve">DESC</w:t>
      </w:r>
      <w:r>
        <w:br/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effective migration role should be</w:t>
      </w:r>
      <w:r>
        <w:t xml:space="preserve"> </w:t>
      </w:r>
      <w:r>
        <w:rPr>
          <w:rStyle w:val="VerbatimChar"/>
        </w:rPr>
        <w:t xml:space="preserve">hisn_owner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</w:t>
      </w:r>
    </w:p>
    <w:p>
      <w:pPr>
        <w:pStyle w:val="Heading2"/>
      </w:pPr>
      <w:bookmarkStart w:id="15" w:name="_ea16c8f4933ec88de761bd91e0b1efa8e6ab802"/>
      <w:r>
        <w:t xml:space="preserve">Residual control</w:t>
      </w:r>
    </w:p>
    <w:p>
      <w:pPr>
        <w:pStyle w:val="FirstParagraph"/>
      </w:pPr>
      <w:r>
        <w:t xml:space="preserve">The current Railway container model still starts the canonical migration runner</w:t>
      </w:r>
      <w:r>
        <w:t xml:space="preserve"> </w:t>
      </w:r>
      <w:r>
        <w:t xml:space="preserve">from the application entrypoint. This branch separates the credentials and</w:t>
      </w:r>
      <w:r>
        <w:t xml:space="preserve"> </w:t>
      </w:r>
      <w:r>
        <w:t xml:space="preserve">runtime authority, but a later deployment-platform hardening step should move</w:t>
      </w:r>
      <w:r>
        <w:t xml:space="preserve"> </w:t>
      </w:r>
      <w:r>
        <w:t xml:space="preserve">migration execution into a dedicated one-shot deployment job/service so the</w:t>
      </w:r>
      <w:r>
        <w:t xml:space="preserve"> </w:t>
      </w:r>
      <w:r>
        <w:t xml:space="preserve">high-privilege migration credential is not co-resident with the long-lived web</w:t>
      </w:r>
      <w:r>
        <w:t xml:space="preserve"> </w:t>
      </w:r>
      <w:r>
        <w:t xml:space="preserve">process.</w:t>
      </w:r>
    </w:p>
    <w:p>
      <w:pPr>
        <w:pStyle w:val="BodyText"/>
      </w:pPr>
      <w:r>
        <w:t xml:space="preserve">That residual is intentionally documented rather than hidden.</w:t>
      </w:r>
    </w:p>
    <w:p>
      <w:pPr>
        <w:pStyle w:val="Heading2"/>
      </w:pPr>
      <w:bookmarkStart w:id="16" w:name="_f4b22fc76967b34458ab7e0dc4996554dfaba3c"/>
      <w:r>
        <w:t xml:space="preserve">Disposable test control-plane</w:t>
      </w:r>
    </w:p>
    <w:p>
      <w:pPr>
        <w:pStyle w:val="FirstParagraph"/>
      </w:pPr>
      <w:r>
        <w:t xml:space="preserve">The terminal assurance harness uses a separate</w:t>
      </w:r>
      <w:r>
        <w:t xml:space="preserve"> </w:t>
      </w:r>
      <w:r>
        <w:rPr>
          <w:rStyle w:val="VerbatimChar"/>
        </w:rPr>
        <w:t xml:space="preserve">hisn_test_admin</w:t>
      </w:r>
      <w:r>
        <w:t xml:space="preserve"> </w:t>
      </w:r>
      <w:r>
        <w:t xml:space="preserve">principal only</w:t>
      </w:r>
      <w:r>
        <w:t xml:space="preserve"> </w:t>
      </w:r>
      <w:r>
        <w:t xml:space="preserve">inside the ephemeral PostgreSQL container. It is</w:t>
      </w:r>
      <w:r>
        <w:t xml:space="preserve"> </w:t>
      </w:r>
      <w:r>
        <w:rPr>
          <w:rStyle w:val="VerbatimChar"/>
        </w:rPr>
        <w:t xml:space="preserve">NOSUPERUSER + BYPASSRLS</w:t>
      </w:r>
      <w:r>
        <w:t xml:space="preserve"> </w:t>
      </w:r>
      <w:r>
        <w:t xml:space="preserve">so</w:t>
      </w:r>
      <w:r>
        <w:t xml:space="preserve"> </w:t>
      </w:r>
      <w:r>
        <w:t xml:space="preserve">legacy integration fixtures can perform deterministic cross-tenant setup and</w:t>
      </w:r>
      <w:r>
        <w:t xml:space="preserve"> </w:t>
      </w:r>
      <w:r>
        <w:t xml:space="preserve">cleanup. It is never used by the application runtime, never configured in</w:t>
      </w:r>
      <w:r>
        <w:t xml:space="preserve"> </w:t>
      </w:r>
      <w:r>
        <w:t xml:space="preserve">Railway, and is not part of the production role contract.</w:t>
      </w:r>
    </w:p>
    <w:p>
      <w:pPr>
        <w:pStyle w:val="BodyText"/>
      </w:pPr>
      <w:r>
        <w:t xml:space="preserve">The actual tenant-isolation proof uses</w:t>
      </w:r>
      <w:r>
        <w:t xml:space="preserve"> </w:t>
      </w:r>
      <w:r>
        <w:rPr>
          <w:rStyle w:val="VerbatimChar"/>
        </w:rPr>
        <w:t xml:space="preserve">hisn_tenant_ci</w:t>
      </w:r>
      <w:r>
        <w:t xml:space="preserve">, which is explicitly</w:t>
      </w:r>
      <w:r>
        <w:t xml:space="preserve"> </w:t>
      </w:r>
      <w:r>
        <w:rPr>
          <w:rStyle w:val="VerbatimChar"/>
        </w:rPr>
        <w:t xml:space="preserve">NOSUPERUSER + NOBYPASSRLS</w:t>
      </w:r>
      <w:r>
        <w:t xml:space="preserve">. Runtime proof uses</w:t>
      </w:r>
      <w:r>
        <w:t xml:space="preserve"> </w:t>
      </w:r>
      <w:r>
        <w:rPr>
          <w:rStyle w:val="VerbatimChar"/>
        </w:rPr>
        <w:t xml:space="preserve">hisn_runtime</w:t>
      </w:r>
      <w:r>
        <w:t xml:space="preserve">, also</w:t>
      </w:r>
      <w:r>
        <w:t xml:space="preserve"> </w:t>
      </w:r>
      <w:r>
        <w:rPr>
          <w:rStyle w:val="VerbatimChar"/>
        </w:rPr>
        <w:t xml:space="preserve">NOSUPERUSER + NOBYPASSRLS</w:t>
      </w:r>
      <w:r>
        <w:t xml:space="preserve">.</w:t>
      </w:r>
    </w:p>
    <w:p>
      <w:pPr>
        <w:pStyle w:val="Heading2"/>
      </w:pPr>
      <w:bookmarkStart w:id="17" w:name="_2cef0ce8194aeef5ec819cf7b9e908567e155d0"/>
      <w:r>
        <w:t xml:space="preserve">Assurance boundary</w:t>
      </w:r>
    </w:p>
    <w:p>
      <w:pPr>
        <w:pStyle w:val="FirstParagraph"/>
      </w:pPr>
      <w:r>
        <w:t xml:space="preserve">Passing this control demonstrates engineering security posture and database</w:t>
      </w:r>
      <w:r>
        <w:t xml:space="preserve"> </w:t>
      </w:r>
      <w:r>
        <w:t xml:space="preserve">tenant-boundary enforcement. It is not a claim of SAMA certification,</w:t>
      </w:r>
      <w:r>
        <w:t xml:space="preserve"> </w:t>
      </w:r>
      <w:r>
        <w:t xml:space="preserve">NCA certification, or regulatory attestation.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PRODUCTION DATABASE ROLE SEPARATION 2026-09-30</dc:title>
  <dc:creator>HISN Platform</dc:creator>
  <cp:keywords>HISN, FCDOS, financial crime, decision operating system</cp:keywords>
  <dcterms:created xsi:type="dcterms:W3CDTF">2026-10-13T12:56:56Z</dcterms:created>
  <dcterms:modified xsi:type="dcterms:W3CDTF">2026-10-13T12:56:56Z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