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9" w:name="_e914e0aaeaa1a2c1591ce49690e9e2f0ccd43c4"/>
      <w:r>
        <w:t xml:space="preserve">HISN Secret Handling Policy — 2026-09-08</w:t>
      </w:r>
    </w:p>
    <w:p>
      <w:pPr>
        <w:pStyle w:val="FirstParagraph"/>
      </w:pPr>
      <w:r>
        <w:rPr>
          <w:b/>
          <w:bCs/>
        </w:rPr>
        <w:t xml:space="preserve">Status:</w:t>
      </w:r>
      <w:r>
        <w:t xml:space="preserve"> </w:t>
      </w:r>
      <w:r>
        <w:t xml:space="preserve">ACTIVE</w:t>
      </w:r>
    </w:p>
    <w:p>
      <w:pPr>
        <w:pStyle w:val="Heading2"/>
      </w:pPr>
      <w:bookmarkStart w:id="10" w:name="_rule"/>
      <w:r>
        <w:t xml:space="preserve">Rule</w:t>
      </w:r>
    </w:p>
    <w:p>
      <w:pPr>
        <w:pStyle w:val="FirstParagraph"/>
      </w:pPr>
      <w:r>
        <w:t xml:space="preserve">No real credential, API token, private key, production database password, JWT signing secret, or provider secret may be committed to any HISN repository, workflow file, test fixture, documentation file, or generated artifact.</w:t>
      </w:r>
    </w:p>
    <w:p>
      <w:pPr>
        <w:pStyle w:val="BodyText"/>
      </w:pPr>
      <w:r>
        <w:t xml:space="preserve">CI/demo credentials must be generated at execution time or injected through the execution environment. They must not be presented as repository constants.</w:t>
      </w:r>
    </w:p>
    <w:p>
      <w:pPr>
        <w:pStyle w:val="Heading2"/>
      </w:pPr>
      <w:bookmarkStart w:id="11" w:name="_328f2ee9e2a48dabd22918ef61ef62b2f96cc37"/>
      <w:r>
        <w:t xml:space="preserve">Current execution model</w:t>
      </w:r>
    </w:p>
    <w:p>
      <w:pPr>
        <w:pStyle w:val="FirstParagraph"/>
      </w:pPr>
      <w:r>
        <w:t xml:space="preserve">GitHub-hosted assurance is disconnected from the automatic release path. The terminal assurance runner generates ephemeral PostgreSQL credentials at runtime and never persists them into repository files.</w:t>
      </w:r>
    </w:p>
    <w:p>
      <w:pPr>
        <w:pStyle w:val="BodyText"/>
      </w:pPr>
      <w:r>
        <w:t xml:space="preserve">The canonical application production secrets remain in Railway/service secret storage and are not duplicated into Git.</w:t>
      </w:r>
    </w:p>
    <w:p>
      <w:pPr>
        <w:pStyle w:val="Heading2"/>
      </w:pPr>
      <w:bookmarkStart w:id="12" w:name="_ff79604546b61b4874c7cb36dafda715015efff"/>
      <w:r>
        <w:t xml:space="preserve">Response to a secret alert</w:t>
      </w:r>
    </w:p>
    <w:p>
      <w:pPr>
        <w:pStyle w:val="FirstParagraph"/>
      </w:pPr>
      <w:r>
        <w:t xml:space="preserve">A GitHub secret-scanning alert is treated as potentially compromised until the specific credential is identified and revoked/rotated by its owner.</w:t>
      </w:r>
    </w:p>
    <w:p>
      <w:pPr>
        <w:pStyle w:val="BodyText"/>
      </w:pPr>
      <w:r>
        <w:t xml:space="preserve">Deleting a secret from the current branch does not by itself invalidate historical exposure. Repository history cleanup is a separate incident-response decision and must not be assumed complete without evidence.</w:t>
      </w:r>
    </w:p>
    <w:p>
      <w:pPr>
        <w:pStyle w:val="BodyText"/>
      </w:pPr>
      <w:r>
        <w:t xml:space="preserve">Never paste the secret value into an issue, commit, chat message, log, or assurance artifact.</w:t>
      </w:r>
    </w:p>
    <w:p>
      <w:pPr>
        <w:pStyle w:val="Heading2"/>
      </w:pPr>
      <w:bookmarkStart w:id="13" w:name="_evidence"/>
      <w:r>
        <w:t xml:space="preserve">Evidence</w:t>
      </w:r>
    </w:p>
    <w:p>
      <w:pPr>
        <w:pStyle w:val="FirstParagraph"/>
      </w:pPr>
      <w:r>
        <w:t xml:space="preserve">The local assurance runner must report only whether secret/configuration checks pass or fail. It must never print secret values.</w:t>
      </w:r>
    </w:p>
    <w:sectPr>
      <w:headerReference w:type="default" r:id="rId9"/>
      <w:footerReference w:type="default" r:id="rId1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Security</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Tajawal" w:hAnsi="Tajawal" w:cs="Tajawal"/>
    </w:rPr>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HISN SECRET HANDLING POLICY 2026-09-08</dc:title>
  <dc:creator>HISN Platform</dc:creator>
  <cp:keywords>HISN, FCDOS, financial crime, decision operating system</cp:keywords>
  <dcterms:created xsi:type="dcterms:W3CDTF">2026-10-13T12:56:56Z</dcterms:created>
  <dcterms:modified xsi:type="dcterms:W3CDTF">2026-10-13T12:56:56Z</dcterms:modified>
  <cp:lastModifiedBy>HISN Platform</cp:lastModifiedBy>
  <dc:description/>
  <cp:category>HISN FCDOS — Investor Data Room</cp:category>
  <cp:contentStatus>Confidential</cp:contentStatus>
  <dc:identifier/>
  <dc:language>en-US</dc:language>
  <dc:subject>HISN FCDOS Investor Data Room</dc:subject>
</cp:coreProperties>
</file>

<file path=docProps/custom.xml><?xml version="1.0" encoding="utf-8"?>
<Properties xmlns="http://schemas.openxmlformats.org/officeDocument/2006/custom-properties" xmlns:vt="http://schemas.openxmlformats.org/officeDocument/2006/docPropsVTypes"/>
</file>