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f60f62c3e53d354faa126138d332b13aff0930"/>
      <w:r>
        <w:t xml:space="preserve">HISN Security Evidence Run — 2026-08-31</w:t>
      </w:r>
    </w:p>
    <w:p>
      <w:pPr>
        <w:pStyle w:val="FirstParagraph"/>
      </w:pPr>
      <w:r>
        <w:rPr>
          <w:b/>
          <w:bCs/>
        </w:rPr>
        <w:t xml:space="preserve">Document ID:</w:t>
      </w:r>
      <w:r>
        <w:t xml:space="preserve"> </w:t>
      </w:r>
      <w:r>
        <w:t xml:space="preserve">HISN-SEC-EVIDENCE-2026-08-31</w:t>
      </w:r>
      <w:r>
        <w:br/>
      </w:r>
      <w:r>
        <w:rPr>
          <w:b/>
          <w:bCs/>
        </w:rPr>
        <w:t xml:space="preserve">Evidence class:</w:t>
      </w:r>
      <w:r>
        <w:t xml:space="preserve"> </w:t>
      </w:r>
      <w:r>
        <w:t xml:space="preserve">E4 — reproducible environment execution</w:t>
      </w:r>
      <w:r>
        <w:br/>
      </w:r>
      <w:r>
        <w:rPr>
          <w:b/>
          <w:bCs/>
        </w:rPr>
        <w:t xml:space="preserve">Repository:</w:t>
      </w:r>
      <w:r>
        <w:t xml:space="preserve"> </w:t>
      </w:r>
      <w:r>
        <w:t xml:space="preserve">Abdo-Tec/hisn-platform</w:t>
      </w:r>
      <w:r>
        <w:br/>
      </w:r>
      <w:r>
        <w:rPr>
          <w:b/>
          <w:bCs/>
        </w:rPr>
        <w:t xml:space="preserve">Purpose:</w:t>
      </w:r>
      <w:r>
        <w:t xml:space="preserve"> </w:t>
      </w:r>
      <w:r>
        <w:t xml:space="preserve">Record the dated local execution evidence supporting the Security Assurance Gate without overstating it as an independent penetration test or production certification.</w:t>
      </w:r>
    </w:p>
    <w:p>
      <w:pPr>
        <w:pStyle w:val="Heading2"/>
      </w:pPr>
      <w:bookmarkStart w:id="10" w:name="_2dfa878482a6e672adcdcc4fa38c96f3841e39a"/>
      <w:r>
        <w:t xml:space="preserve">Observed execution</w:t>
      </w:r>
    </w:p>
    <w:p>
      <w:pPr>
        <w:pStyle w:val="FirstParagraph"/>
      </w:pPr>
      <w:r>
        <w:t xml:space="preserve">Operator executed the repository’s assurance collector and the defined security-focused test suite in the local Docker-backed development environment.</w:t>
      </w:r>
    </w:p>
    <w:p>
      <w:pPr>
        <w:pStyle w:val="Heading3"/>
      </w:pPr>
      <w:bookmarkStart w:id="11" w:name="_c35906c4acfa5fca3b3ffe94689b12550dc9fdf"/>
      <w:r>
        <w:t xml:space="preserve">Assurance collector</w:t>
      </w:r>
    </w:p>
    <w:p>
      <w:pPr>
        <w:pStyle w:val="FirstParagraph"/>
      </w:pPr>
      <w:r>
        <w:t xml:space="preserve">Command: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scripts/assurance/local_assurance_evidence.py</w:t>
      </w:r>
    </w:p>
    <w:p>
      <w:pPr>
        <w:pStyle w:val="FirstParagraph"/>
      </w:pPr>
      <w:r>
        <w:t xml:space="preserve">Observed artifact:</w:t>
      </w:r>
    </w:p>
    <w:p>
      <w:pPr>
        <w:pStyle w:val="SourceCode"/>
      </w:pPr>
      <w:r>
        <w:rPr>
          <w:rStyle w:val="VerbatimChar"/>
        </w:rPr>
        <w:t xml:space="preserve">artifacts/assurance/local_assurance_evidence_20260831T072736Z.json</w:t>
      </w:r>
    </w:p>
    <w:p>
      <w:pPr>
        <w:pStyle w:val="FirstParagraph"/>
      </w:pPr>
      <w:r>
        <w:t xml:space="preserve">Collector checks reported:</w:t>
      </w:r>
    </w:p>
    <w:p>
      <w:pPr>
        <w:pStyle w:val="SourceCode"/>
      </w:pPr>
      <w:r>
        <w:rPr>
          <w:rStyle w:val="VerbatimChar"/>
        </w:rPr>
        <w:t xml:space="preserve"> git</w:t>
      </w:r>
      <w:r>
        <w:br/>
      </w:r>
      <w:r>
        <w:rPr>
          <w:rStyle w:val="VerbatimChar"/>
        </w:rPr>
        <w:t xml:space="preserve"> backend_tests</w:t>
      </w:r>
      <w:r>
        <w:br/>
      </w:r>
      <w:r>
        <w:rPr>
          <w:rStyle w:val="VerbatimChar"/>
        </w:rPr>
        <w:t xml:space="preserve"> health</w:t>
      </w:r>
      <w:r>
        <w:br/>
      </w:r>
      <w:r>
        <w:rPr>
          <w:rStyle w:val="VerbatimChar"/>
        </w:rPr>
        <w:t xml:space="preserve"> openapi</w:t>
      </w:r>
      <w:r>
        <w:br/>
      </w:r>
      <w:r>
        <w:rPr>
          <w:rStyle w:val="VerbatimChar"/>
        </w:rPr>
        <w:t xml:space="preserve"> docker</w:t>
      </w:r>
      <w:r>
        <w:br/>
      </w:r>
      <w:r>
        <w:rPr>
          <w:rStyle w:val="VerbatimChar"/>
        </w:rPr>
        <w:t xml:space="preserve"> runtime_registry</w:t>
      </w:r>
      <w:r>
        <w:br/>
      </w:r>
      <w:r>
        <w:rPr>
          <w:rStyle w:val="VerbatimChar"/>
        </w:rPr>
        <w:t xml:space="preserve"> database</w:t>
      </w:r>
      <w:r>
        <w:br/>
      </w:r>
      <w:r>
        <w:rPr>
          <w:rStyle w:val="VerbatimChar"/>
        </w:rPr>
        <w:t xml:space="preserve"> secret_heuristic</w:t>
      </w:r>
    </w:p>
    <w:p>
      <w:pPr>
        <w:pStyle w:val="FirstParagraph"/>
      </w:pPr>
      <w:r>
        <w:t xml:space="preserve">Collector limitations reported:</w:t>
      </w:r>
    </w:p>
    <w:p>
      <w:pPr>
        <w:pStyle w:val="SourceCode"/>
      </w:pPr>
      <w:r>
        <w:rPr>
          <w:rStyle w:val="VerbatimChar"/>
        </w:rPr>
        <w:t xml:space="preserve">Local evidence is not production certification.</w:t>
      </w:r>
      <w:r>
        <w:br/>
      </w:r>
      <w:r>
        <w:rPr>
          <w:rStyle w:val="VerbatimChar"/>
        </w:rPr>
        <w:t xml:space="preserve">This collector does not perform an independent penetration test.</w:t>
      </w:r>
      <w:r>
        <w:br/>
      </w:r>
      <w:r>
        <w:rPr>
          <w:rStyle w:val="VerbatimChar"/>
        </w:rPr>
        <w:t xml:space="preserve">Target deployment, restore, rollback, and browser acceptance require target-environment evidence.</w:t>
      </w:r>
    </w:p>
    <w:p>
      <w:pPr>
        <w:pStyle w:val="Heading3"/>
      </w:pPr>
      <w:bookmarkStart w:id="12" w:name="_04b18e3b9f6192443c9d6c55917f19522928a85"/>
      <w:r>
        <w:t xml:space="preserve">Security-focused regression suite</w:t>
      </w:r>
    </w:p>
    <w:p>
      <w:pPr>
        <w:pStyle w:val="FirstParagraph"/>
      </w:pPr>
      <w:r>
        <w:t xml:space="preserve">Command: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pytest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tests/test_blackbox_auth.py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tests/test_blackbox_jwt.py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tests/test_runtime_authorization.py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tests/test_tenant_rls.py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tests/test_gate08_authorization.py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tests/test_gate08_sensitive_api_auth.py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tests/test_gate09_provider_truthfulness.py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tests/test_security_fuzz.py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tests/test_security_headers.py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tests/test_security_json.py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tests/test_security_sql_injection.py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tests/test_gate10_security.py</w:t>
      </w:r>
    </w:p>
    <w:p>
      <w:pPr>
        <w:pStyle w:val="FirstParagraph"/>
      </w:pPr>
      <w:r>
        <w:t xml:space="preserve">Observed result:</w:t>
      </w:r>
    </w:p>
    <w:p>
      <w:pPr>
        <w:pStyle w:val="SourceCode"/>
      </w:pPr>
      <w:r>
        <w:rPr>
          <w:rStyle w:val="VerbatimChar"/>
        </w:rPr>
        <w:t xml:space="preserve">39 passed in 4.12s</w:t>
      </w:r>
      <w:r>
        <w:br/>
      </w:r>
      <w:r>
        <w:rPr>
          <w:rStyle w:val="VerbatimChar"/>
        </w:rPr>
        <w:t xml:space="preserve">39 passed in 4.62s</w:t>
      </w:r>
    </w:p>
    <w:p>
      <w:pPr>
        <w:pStyle w:val="FirstParagraph"/>
      </w:pPr>
      <w:r>
        <w:t xml:space="preserve">The suite was therefore reproduced successfully in two consecutive executions.</w:t>
      </w:r>
    </w:p>
    <w:p>
      <w:pPr>
        <w:pStyle w:val="Heading2"/>
      </w:pPr>
      <w:bookmarkStart w:id="13" w:name="_6f65c143e96ea45b13847dd38303c6e262fe722"/>
      <w:r>
        <w:t xml:space="preserve">What this evidence establishes</w:t>
      </w:r>
    </w:p>
    <w:p>
      <w:pPr>
        <w:pStyle w:val="FirstParagraph"/>
      </w:pPr>
      <w:r>
        <w:t xml:space="preserve">The recorded run provides reproducible local evidence for implemented controls covering authentication, JWT behavior, authorization boundaries, tenant isolation/RLS, sensitive-route authorization, provider-failure truthfulness, fuzz/input handling, security headers, JSON validation, SQL-injection defenses, and protected error exposure.</w:t>
      </w:r>
    </w:p>
    <w:p>
      <w:pPr>
        <w:pStyle w:val="Heading2"/>
      </w:pPr>
      <w:bookmarkStart w:id="14" w:name="_79416fd184b62f59fe385c260b681f69e02e4bc"/>
      <w:r>
        <w:t xml:space="preserve">What this evidence does not establish</w:t>
      </w:r>
    </w:p>
    <w:p>
      <w:pPr>
        <w:pStyle w:val="FirstParagraph"/>
      </w:pPr>
      <w:r>
        <w:t xml:space="preserve">This artifact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establish:</w:t>
      </w:r>
    </w:p>
    <w:p>
      <w:pPr>
        <w:pStyle w:val="Compact"/>
        <w:numPr>
          <w:ilvl w:val="0"/>
          <w:numId w:val="1001"/>
        </w:numPr>
      </w:pPr>
      <w:r>
        <w:t xml:space="preserve">independent penetration-test completion;</w:t>
      </w:r>
    </w:p>
    <w:p>
      <w:pPr>
        <w:pStyle w:val="Compact"/>
        <w:numPr>
          <w:ilvl w:val="0"/>
          <w:numId w:val="1001"/>
        </w:numPr>
      </w:pPr>
      <w:r>
        <w:t xml:space="preserve">a clean dependency vulnerability scan;</w:t>
      </w:r>
    </w:p>
    <w:p>
      <w:pPr>
        <w:pStyle w:val="Compact"/>
        <w:numPr>
          <w:ilvl w:val="0"/>
          <w:numId w:val="1001"/>
        </w:numPr>
      </w:pPr>
      <w:r>
        <w:t xml:space="preserve">a clean container/image vulnerability scan;</w:t>
      </w:r>
    </w:p>
    <w:p>
      <w:pPr>
        <w:pStyle w:val="Compact"/>
        <w:numPr>
          <w:ilvl w:val="0"/>
          <w:numId w:val="1001"/>
        </w:numPr>
      </w:pPr>
      <w:r>
        <w:t xml:space="preserve">production deployment security;</w:t>
      </w:r>
    </w:p>
    <w:p>
      <w:pPr>
        <w:pStyle w:val="Compact"/>
        <w:numPr>
          <w:ilvl w:val="0"/>
          <w:numId w:val="1001"/>
        </w:numPr>
      </w:pPr>
      <w:r>
        <w:t xml:space="preserve">TLS/edge configuration correctness in the target environment;</w:t>
      </w:r>
    </w:p>
    <w:p>
      <w:pPr>
        <w:pStyle w:val="Compact"/>
        <w:numPr>
          <w:ilvl w:val="0"/>
          <w:numId w:val="1001"/>
        </w:numPr>
      </w:pPr>
      <w:r>
        <w:t xml:space="preserve">absence of all undiscovered vulnerabilities;</w:t>
      </w:r>
    </w:p>
    <w:p>
      <w:pPr>
        <w:pStyle w:val="Compact"/>
        <w:numPr>
          <w:ilvl w:val="0"/>
          <w:numId w:val="1001"/>
        </w:numPr>
      </w:pPr>
      <w:r>
        <w:t xml:space="preserve">regulatory or bank certification.</w:t>
      </w:r>
    </w:p>
    <w:p>
      <w:pPr>
        <w:pStyle w:val="FirstParagraph"/>
      </w:pPr>
      <w:r>
        <w:t xml:space="preserve">Those items remain separate evidence controls under the Security Assurance Register.</w:t>
      </w:r>
    </w:p>
    <w:p>
      <w:pPr>
        <w:pStyle w:val="Heading2"/>
      </w:pPr>
      <w:bookmarkStart w:id="15" w:name="_reproduction"/>
      <w:r>
        <w:t xml:space="preserve">Reproduction</w:t>
      </w:r>
    </w:p>
    <w:p>
      <w:pPr>
        <w:pStyle w:val="FirstParagraph"/>
      </w:pPr>
      <w:r>
        <w:t xml:space="preserve">Run the same command set against the exact repository commit used for the target assessment and retain the stdout, exit code, environment identifier, and timestamp.</w:t>
      </w:r>
    </w:p>
    <w:p>
      <w:pPr>
        <w:pStyle w:val="Heading2"/>
      </w:pPr>
      <w:bookmarkStart w:id="16" w:name="_e92de5a3cbd4d06a223275db6619c237b6a7b36"/>
      <w:r>
        <w:t xml:space="preserve">Gate interpretation</w:t>
      </w:r>
    </w:p>
    <w:p>
      <w:pPr>
        <w:pStyle w:val="FirstParagraph"/>
      </w:pPr>
      <w:r>
        <w:rPr>
          <w:b/>
          <w:bCs/>
        </w:rPr>
        <w:t xml:space="preserve">Security Gate status after this evidence run: PARTIAL / materially strengthened.</w:t>
      </w:r>
    </w:p>
    <w:p>
      <w:pPr>
        <w:pStyle w:val="BodyText"/>
      </w:pPr>
      <w:r>
        <w:t xml:space="preserve">The security-focused automated controls are green. Gate closure still requires the remaining explicit controls in the Security Assurance Register, including dependency/image evidence and independent review where required.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SECURITY EVIDENCE RUN 2026-08-31</dc:title>
  <dc:creator>HISN Platform</dc:creator>
  <cp:keywords>HISN, FCDOS, financial crime, decision operating system</cp:keywords>
  <dcterms:created xsi:type="dcterms:W3CDTF">2026-10-13T12:56:59Z</dcterms:created>
  <dcterms:modified xsi:type="dcterms:W3CDTF">2026-10-13T12:56:59Z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