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4731f5df8b0b05dc03c31de7e1c2d551d899f47"/>
      <w:r>
        <w:t xml:space="preserve">Data Classification: ML Features</w:t>
      </w:r>
    </w:p>
    <w:p>
      <w:pPr>
        <w:pStyle w:val="FirstParagraph"/>
      </w:pPr>
      <w:r>
        <w:rPr>
          <w:b/>
          <w:bCs/>
        </w:rPr>
        <w:t xml:space="preserve">Capability:</w:t>
      </w:r>
      <w:r>
        <w:t xml:space="preserve"> </w:t>
      </w:r>
      <w:r>
        <w:t xml:space="preserve">Isolation Forest / ML Anomaly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2026-09-12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/ CTO gate</w:t>
      </w:r>
    </w:p>
    <w:p>
      <w:pPr>
        <w:pStyle w:val="Heading2"/>
      </w:pPr>
      <w:bookmarkStart w:id="10" w:name="_578338b4f8bd90883fc87d6a325b546a43e60ec"/>
      <w:r>
        <w:t xml:space="preserve">Classification matrix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Runtime purpose</w:t>
            </w:r>
          </w:p>
        </w:tc>
        <w:tc>
          <w:tcPr/>
          <w:p>
            <w:pPr>
              <w:pStyle w:val="Compact"/>
            </w:pPr>
            <w:r>
              <w:t xml:space="preserve">Persistence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amount</w:t>
            </w:r>
          </w:p>
        </w:tc>
        <w:tc>
          <w:tcPr/>
          <w:p>
            <w:pPr>
              <w:pStyle w:val="Compact"/>
            </w:pPr>
            <w:r>
              <w:t xml:space="preserve">numeric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anomaly feature</w:t>
            </w:r>
          </w:p>
        </w:tc>
        <w:tc>
          <w:tcPr/>
          <w:p>
            <w:pPr>
              <w:pStyle w:val="Compact"/>
            </w:pPr>
            <w:r>
              <w:t xml:space="preserve">runtime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velocity</w:t>
            </w:r>
          </w:p>
        </w:tc>
        <w:tc>
          <w:tcPr/>
          <w:p>
            <w:pPr>
              <w:pStyle w:val="Compact"/>
            </w:pPr>
            <w:r>
              <w:t xml:space="preserve">numeric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anomaly feature</w:t>
            </w:r>
          </w:p>
        </w:tc>
        <w:tc>
          <w:tcPr/>
          <w:p>
            <w:pPr>
              <w:pStyle w:val="Compact"/>
            </w:pPr>
            <w:r>
              <w:t xml:space="preserve">runtime only unless separately approved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geo_code</w:t>
            </w:r>
          </w:p>
        </w:tc>
        <w:tc>
          <w:tcPr/>
          <w:p>
            <w:pPr>
              <w:pStyle w:val="Compact"/>
            </w:pPr>
            <w:r>
              <w:t xml:space="preserve">categorical</w:t>
            </w:r>
          </w:p>
        </w:tc>
        <w:tc>
          <w:tcPr/>
          <w:p>
            <w:pPr>
              <w:pStyle w:val="Compact"/>
            </w:pPr>
            <w:r>
              <w:t xml:space="preserve">INTERNAL</w:t>
            </w:r>
          </w:p>
        </w:tc>
        <w:tc>
          <w:tcPr/>
          <w:p>
            <w:pPr>
              <w:pStyle w:val="Compact"/>
            </w:pPr>
            <w:r>
              <w:t xml:space="preserve">derived behavioral feature</w:t>
            </w:r>
          </w:p>
        </w:tc>
        <w:tc>
          <w:tcPr/>
          <w:p>
            <w:pPr>
              <w:pStyle w:val="Compact"/>
            </w:pPr>
            <w:r>
              <w:t xml:space="preserve">runtime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transaction_id</w:t>
            </w:r>
          </w:p>
        </w:tc>
        <w:tc>
          <w:tcPr/>
          <w:p>
            <w:pPr>
              <w:pStyle w:val="Compact"/>
            </w:pPr>
            <w:r>
              <w:t xml:space="preserve">identifier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  <w:tc>
          <w:tcPr/>
          <w:p>
            <w:pPr>
              <w:pStyle w:val="Compact"/>
            </w:pPr>
            <w:r>
              <w:t xml:space="preserve">lineage correlation</w:t>
            </w:r>
          </w:p>
        </w:tc>
        <w:tc>
          <w:tcPr/>
          <w:p>
            <w:pPr>
              <w:pStyle w:val="Compact"/>
            </w:pPr>
            <w:r>
              <w:t xml:space="preserve">canonical lineage only</w:t>
            </w:r>
          </w:p>
        </w:tc>
      </w:tr>
    </w:tbl>
    <w:p>
      <w:pPr>
        <w:pStyle w:val="Heading2"/>
      </w:pPr>
      <w:bookmarkStart w:id="11" w:name="_126607aa8bea72bbee11dcdf02e266060485841"/>
      <w:r>
        <w:t xml:space="preserve">Security rules</w:t>
      </w:r>
    </w:p>
    <w:p>
      <w:pPr>
        <w:pStyle w:val="Compact"/>
        <w:numPr>
          <w:ilvl w:val="0"/>
          <w:numId w:val="1001"/>
        </w:numPr>
      </w:pPr>
      <w:r>
        <w:t xml:space="preserve">Features are never written into ML evidence payloads by default.</w:t>
      </w:r>
    </w:p>
    <w:p>
      <w:pPr>
        <w:pStyle w:val="Compact"/>
        <w:numPr>
          <w:ilvl w:val="0"/>
          <w:numId w:val="1001"/>
        </w:numPr>
      </w:pPr>
      <w:r>
        <w:t xml:space="preserve">Raw amount, customer identifiers, IBAN, national ID, card data, and complete transaction payloads are prohibited in Evidence unless an approved control explicitly requires them.</w:t>
      </w:r>
    </w:p>
    <w:p>
      <w:pPr>
        <w:pStyle w:val="Compact"/>
        <w:numPr>
          <w:ilvl w:val="0"/>
          <w:numId w:val="1001"/>
        </w:numPr>
      </w:pPr>
      <w:r>
        <w:t xml:space="preserve">Features must not be written to application logs.</w:t>
      </w:r>
    </w:p>
    <w:p>
      <w:pPr>
        <w:pStyle w:val="Compact"/>
        <w:numPr>
          <w:ilvl w:val="0"/>
          <w:numId w:val="1001"/>
        </w:numPr>
      </w:pPr>
      <w:r>
        <w:t xml:space="preserve">Training data remains tenant-scoped and is not cross-tenant aggregatable.</w:t>
      </w:r>
    </w:p>
    <w:p>
      <w:pPr>
        <w:pStyle w:val="Compact"/>
        <w:numPr>
          <w:ilvl w:val="0"/>
          <w:numId w:val="1001"/>
        </w:numPr>
      </w:pPr>
      <w:r>
        <w:t xml:space="preserve">Model evidence contains provenance, not raw feature values.</w:t>
      </w:r>
    </w:p>
    <w:p>
      <w:pPr>
        <w:pStyle w:val="Compact"/>
        <w:numPr>
          <w:ilvl w:val="0"/>
          <w:numId w:val="1001"/>
        </w:numPr>
      </w:pPr>
      <w:r>
        <w:t xml:space="preserve">Retention follows the applicable canonical data-retention policy; this document does not create a new retention period.</w:t>
      </w:r>
    </w:p>
    <w:p>
      <w:pPr>
        <w:pStyle w:val="Heading2"/>
      </w:pPr>
      <w:bookmarkStart w:id="12" w:name="_5c1f7bdf1861407ae43d6bd419ce5d0d2316f04"/>
      <w:r>
        <w:t xml:space="preserve">PDPL-oriented engineering controls</w:t>
      </w:r>
    </w:p>
    <w:p>
      <w:pPr>
        <w:pStyle w:val="Compact"/>
        <w:numPr>
          <w:ilvl w:val="0"/>
          <w:numId w:val="1002"/>
        </w:numPr>
      </w:pPr>
      <w:r>
        <w:t xml:space="preserve">Data minimization: process only features necessary for anomaly detection.</w:t>
      </w:r>
    </w:p>
    <w:p>
      <w:pPr>
        <w:pStyle w:val="Compact"/>
        <w:numPr>
          <w:ilvl w:val="0"/>
          <w:numId w:val="1002"/>
        </w:numPr>
      </w:pPr>
      <w:r>
        <w:t xml:space="preserve">Purpose limitation: ML features are used for the approved AML detection purpose.</w:t>
      </w:r>
    </w:p>
    <w:p>
      <w:pPr>
        <w:pStyle w:val="Compact"/>
        <w:numPr>
          <w:ilvl w:val="0"/>
          <w:numId w:val="1002"/>
        </w:numPr>
      </w:pPr>
      <w:r>
        <w:t xml:space="preserve">Storage limitation: runtime features are not persisted merely for audit convenience.</w:t>
      </w:r>
    </w:p>
    <w:p>
      <w:pPr>
        <w:pStyle w:val="Compact"/>
        <w:numPr>
          <w:ilvl w:val="0"/>
          <w:numId w:val="1002"/>
        </w:numPr>
      </w:pPr>
      <w:r>
        <w:t xml:space="preserve">Accountability: model/version/config provenance is retained in canonical evidence.</w:t>
      </w:r>
    </w:p>
    <w:p>
      <w:pPr>
        <w:pStyle w:val="Compact"/>
        <w:numPr>
          <w:ilvl w:val="0"/>
          <w:numId w:val="1002"/>
        </w:numPr>
      </w:pPr>
      <w:r>
        <w:t xml:space="preserve">Tenant isolation: feature extraction executes only within trusted tenant runtime context.</w:t>
      </w:r>
    </w:p>
    <w:p>
      <w:pPr>
        <w:pStyle w:val="FirstParagraph"/>
      </w:pPr>
      <w:r>
        <w:rPr>
          <w:b/>
          <w:bCs/>
        </w:rPr>
        <w:t xml:space="preserve">Approval:</w:t>
      </w:r>
      <w:r>
        <w:t xml:space="preserve"> </w:t>
      </w:r>
      <w:r>
        <w:t xml:space="preserve">Directive 040/2026 — CTO approved</w:t>
      </w:r>
      <w:r>
        <w:t xml:space="preserve"> </w:t>
      </w:r>
      <w:r>
        <w:rPr>
          <w:b/>
          <w:bCs/>
        </w:rPr>
        <w:t xml:space="preserve">Review:</w:t>
      </w:r>
      <w:r>
        <w:t xml:space="preserve"> </w:t>
      </w:r>
      <w:r>
        <w:t xml:space="preserve">2027-03-12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 FEATURES</dc:title>
  <dc:creator>HISN Platform</dc:creator>
  <cp:keywords>HISN, FCDOS, financial crime, decision operating system</cp:keywords>
  <dcterms:created xsi:type="dcterms:W3CDTF">2026-10-13T12:56:57Z</dcterms:created>
  <dcterms:modified xsi:type="dcterms:W3CDTF">2026-10-13T12:56:57Z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