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9" w:name="_3492c8eb8506a5fa0df98d085fff7a97aff49ce"/>
      <w:r>
        <w:t xml:space="preserve">HISN PDPL Data Protection Baseline — 2026-09-02</w:t>
      </w:r>
    </w:p>
    <w:p>
      <w:pPr>
        <w:pStyle w:val="Heading2"/>
      </w:pPr>
      <w:bookmarkStart w:id="10" w:name="_scope"/>
      <w:r>
        <w:t xml:space="preserve">Scope</w:t>
      </w:r>
    </w:p>
    <w:p>
      <w:pPr>
        <w:pStyle w:val="FirstParagraph"/>
      </w:pPr>
      <w:r>
        <w:t xml:space="preserve">HISN processes sensitive financial-crime, identity, transaction, case, evidence and audit data. This document is the engineering baseline for Personal Data Protection Law (PDPL) security controls; it is not a legal certification.</w:t>
      </w:r>
    </w:p>
    <w:p>
      <w:pPr>
        <w:pStyle w:val="Heading2"/>
      </w:pPr>
      <w:bookmarkStart w:id="11" w:name="_9720d56876372fd4b893e0585ffcd5b4204b08f"/>
      <w:r>
        <w:t xml:space="preserve">Regulatory basis</w:t>
      </w:r>
    </w:p>
    <w:p>
      <w:pPr>
        <w:pStyle w:val="FirstParagraph"/>
      </w:pPr>
      <w:r>
        <w:t xml:space="preserve">Saudi PDPL and its Implementing Regulations require appropriate organizational, administrative and technical measures to protect personal data and privacy, including controls that limit breach risk. SDAIA guidance identifies encryption, access controls and intrusion detection as examples of technical measures and emphasizes data minimization, retention and secure disposal. The Implementing Regulation also requires adoption of applicable National Cybersecurity Authority controls or recognized cybersecurity standards where applicable.</w:t>
      </w:r>
    </w:p>
    <w:p>
      <w:pPr>
        <w:pStyle w:val="Heading2"/>
      </w:pPr>
      <w:bookmarkStart w:id="12" w:name="_af070fcfb5545b98dad6e0ea63c5331fd1af7ee"/>
      <w:r>
        <w:t xml:space="preserve">HISN control baseline</w:t>
      </w:r>
    </w:p>
    <w:p>
      <w:pPr>
        <w:pStyle w:val="Heading3"/>
      </w:pPr>
      <w:bookmarkStart w:id="13" w:name="_79dfddbdb9e3d93dd274f4deb21c570c8b6e017"/>
      <w:r>
        <w:t xml:space="preserve">1. Encryption in transit — REQUIRED / TARGET</w:t>
      </w:r>
    </w:p>
    <w:p>
      <w:pPr>
        <w:pStyle w:val="Compact"/>
        <w:numPr>
          <w:ilvl w:val="0"/>
          <w:numId w:val="1001"/>
        </w:numPr>
      </w:pPr>
      <w:r>
        <w:t xml:space="preserve">TLS/HTTPS only for browser-to-platform and service-to-service traffic.</w:t>
      </w:r>
    </w:p>
    <w:p>
      <w:pPr>
        <w:pStyle w:val="Compact"/>
        <w:numPr>
          <w:ilvl w:val="0"/>
          <w:numId w:val="1001"/>
        </w:numPr>
      </w:pPr>
      <w:r>
        <w:t xml:space="preserve">Production frontend API configuration must reject non-HTTPS API origins.</w:t>
      </w:r>
    </w:p>
    <w:p>
      <w:pPr>
        <w:pStyle w:val="Compact"/>
        <w:numPr>
          <w:ilvl w:val="0"/>
          <w:numId w:val="1001"/>
        </w:numPr>
      </w:pPr>
      <w:r>
        <w:t xml:space="preserve">HSTS is emitted by the backend in production.</w:t>
      </w:r>
    </w:p>
    <w:p>
      <w:pPr>
        <w:pStyle w:val="Heading3"/>
      </w:pPr>
      <w:bookmarkStart w:id="14" w:name="_69949a4529baae34c26aed5101ce9156ba84244"/>
      <w:r>
        <w:t xml:space="preserve">2. Encryption at rest — REQUIRED / TARGET</w:t>
      </w:r>
    </w:p>
    <w:p>
      <w:pPr>
        <w:pStyle w:val="FirstParagraph"/>
      </w:pPr>
      <w:r>
        <w:t xml:space="preserve">The current architecture records encryption-at-rest as phased. Before processing real customer production data, the target posture is:</w:t>
      </w:r>
    </w:p>
    <w:p>
      <w:pPr>
        <w:pStyle w:val="Compact"/>
        <w:numPr>
          <w:ilvl w:val="0"/>
          <w:numId w:val="1002"/>
        </w:numPr>
      </w:pPr>
      <w:r>
        <w:t xml:space="preserve">provider/database storage encryption enabled;</w:t>
      </w:r>
    </w:p>
    <w:p>
      <w:pPr>
        <w:pStyle w:val="Compact"/>
        <w:numPr>
          <w:ilvl w:val="0"/>
          <w:numId w:val="1002"/>
        </w:numPr>
      </w:pPr>
      <w:r>
        <w:t xml:space="preserve">encrypted backups;</w:t>
      </w:r>
    </w:p>
    <w:p>
      <w:pPr>
        <w:pStyle w:val="Compact"/>
        <w:numPr>
          <w:ilvl w:val="0"/>
          <w:numId w:val="1002"/>
        </w:numPr>
      </w:pPr>
      <w:r>
        <w:t xml:space="preserve">secret-manager managed encryption keys;</w:t>
      </w:r>
    </w:p>
    <w:p>
      <w:pPr>
        <w:pStyle w:val="Compact"/>
        <w:numPr>
          <w:ilvl w:val="0"/>
          <w:numId w:val="1002"/>
        </w:numPr>
      </w:pPr>
      <w:r>
        <w:t xml:space="preserve">no encryption keys in source control;</w:t>
      </w:r>
    </w:p>
    <w:p>
      <w:pPr>
        <w:pStyle w:val="Compact"/>
        <w:numPr>
          <w:ilvl w:val="0"/>
          <w:numId w:val="1002"/>
        </w:numPr>
      </w:pPr>
      <w:r>
        <w:t xml:space="preserve">key rotation procedure documented and tested;</w:t>
      </w:r>
    </w:p>
    <w:p>
      <w:pPr>
        <w:pStyle w:val="Compact"/>
        <w:numPr>
          <w:ilvl w:val="0"/>
          <w:numId w:val="1002"/>
        </w:numPr>
      </w:pPr>
      <w:r>
        <w:t xml:space="preserve">highly restricted fields protected with application/field-level encryption or tokenization where risk assessment requires it.</w:t>
      </w:r>
    </w:p>
    <w:p>
      <w:pPr>
        <w:pStyle w:val="Heading3"/>
      </w:pPr>
      <w:bookmarkStart w:id="15" w:name="_2b14bb504599662b1107a91395cc21108b02e4a"/>
      <w:r>
        <w:t xml:space="preserve">3. Key management</w:t>
      </w:r>
    </w:p>
    <w:p>
      <w:pPr>
        <w:pStyle w:val="FirstParagraph"/>
      </w:pPr>
      <w:r>
        <w:t xml:space="preserve">Use envelope encryption: a data-encryption key protects application data and is itself protected by a KMS-managed key. The application receives key material only at runtime through the approved secret/KMS boundary. Never hard-code keys, passwords or database connection strings in Git.</w:t>
      </w:r>
    </w:p>
    <w:p>
      <w:pPr>
        <w:pStyle w:val="Heading3"/>
      </w:pPr>
      <w:bookmarkStart w:id="16" w:name="_e581436fa42b3fc9d5b9ef8fbbb7a57a701ee08"/>
      <w:r>
        <w:t xml:space="preserve">4. Authentication and authorization</w:t>
      </w:r>
    </w:p>
    <w:p>
      <w:pPr>
        <w:pStyle w:val="Compact"/>
        <w:numPr>
          <w:ilvl w:val="0"/>
          <w:numId w:val="1003"/>
        </w:numPr>
      </w:pPr>
      <w:r>
        <w:t xml:space="preserve">Backend authorization is authoritative and fail-closed.</w:t>
      </w:r>
    </w:p>
    <w:p>
      <w:pPr>
        <w:pStyle w:val="Compact"/>
        <w:numPr>
          <w:ilvl w:val="0"/>
          <w:numId w:val="1003"/>
        </w:numPr>
      </w:pPr>
      <w:r>
        <w:t xml:space="preserve">Tenant context is mandatory at authorization boundaries.</w:t>
      </w:r>
    </w:p>
    <w:p>
      <w:pPr>
        <w:pStyle w:val="Compact"/>
        <w:numPr>
          <w:ilvl w:val="0"/>
          <w:numId w:val="1003"/>
        </w:numPr>
      </w:pPr>
      <w:r>
        <w:t xml:space="preserve">Cross-tenant access is denied by default.</w:t>
      </w:r>
    </w:p>
    <w:p>
      <w:pPr>
        <w:pStyle w:val="Compact"/>
        <w:numPr>
          <w:ilvl w:val="0"/>
          <w:numId w:val="1003"/>
        </w:numPr>
      </w:pPr>
      <w:r>
        <w:t xml:space="preserve">Passwords are stored only as password hashes.</w:t>
      </w:r>
    </w:p>
    <w:p>
      <w:pPr>
        <w:pStyle w:val="Compact"/>
        <w:numPr>
          <w:ilvl w:val="0"/>
          <w:numId w:val="1003"/>
        </w:numPr>
      </w:pPr>
      <w:r>
        <w:t xml:space="preserve">Investor demonstration access uses the least-privilege</w:t>
      </w:r>
      <w:r>
        <w:t xml:space="preserve"> </w:t>
      </w:r>
      <w:r>
        <w:rPr>
          <w:rStyle w:val="VerbatimChar"/>
        </w:rPr>
        <w:t xml:space="preserve">demo_viewer</w:t>
      </w:r>
      <w:r>
        <w:t xml:space="preserve"> </w:t>
      </w:r>
      <w:r>
        <w:t xml:space="preserve">role and a dedicated demo tenant.</w:t>
      </w:r>
    </w:p>
    <w:p>
      <w:pPr>
        <w:pStyle w:val="Heading3"/>
      </w:pPr>
      <w:bookmarkStart w:id="17" w:name="_9bd931398d93d575909eb077d217c66737d59ce"/>
      <w:r>
        <w:t xml:space="preserve">5. Data minimization and demonstration boundary</w:t>
      </w:r>
    </w:p>
    <w:p>
      <w:pPr>
        <w:pStyle w:val="FirstParagraph"/>
      </w:pPr>
      <w:r>
        <w:t xml:space="preserve">Investor demonstrations must use synthetic/demo data. Production customer data must never be exposed through the investor demo tenant.</w:t>
      </w:r>
    </w:p>
    <w:p>
      <w:pPr>
        <w:pStyle w:val="Heading3"/>
      </w:pPr>
      <w:bookmarkStart w:id="18" w:name="_dc7aaa7bb6feaa70dea644fd3eeef88c58c1619"/>
      <w:r>
        <w:t xml:space="preserve">6. Logging and auditability</w:t>
      </w:r>
    </w:p>
    <w:p>
      <w:pPr>
        <w:pStyle w:val="FirstParagraph"/>
      </w:pPr>
      <w:r>
        <w:t xml:space="preserve">Security-sensitive access must be auditable. Decision lineage must remain traceable through decision, evidence, lifecycle and audit records. Logs must avoid storing plaintext passwords, access tokens or other secrets.</w:t>
      </w:r>
    </w:p>
    <w:p>
      <w:pPr>
        <w:pStyle w:val="Heading3"/>
      </w:pPr>
      <w:bookmarkStart w:id="19" w:name="_5d2bf184eb0c4d56ec51686e7f3b5d2e9e5bf33"/>
      <w:r>
        <w:t xml:space="preserve">7. Incident response</w:t>
      </w:r>
    </w:p>
    <w:p>
      <w:pPr>
        <w:pStyle w:val="FirstParagraph"/>
      </w:pPr>
      <w:r>
        <w:t xml:space="preserve">The implementation plan must include breach detection, escalation, evidence preservation and regulatory notification procedures. The Implementing Regulation specifies a notification window of no more than 72 hours to the competent authority where the breach conditions for notification are met.</w:t>
      </w:r>
    </w:p>
    <w:p>
      <w:pPr>
        <w:pStyle w:val="Heading2"/>
      </w:pPr>
      <w:bookmarkStart w:id="20" w:name="_bdfc2d89725c99d0773e33d69885760bd813919"/>
      <w:r>
        <w:t xml:space="preserve">Current implementation status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Control</w:t>
            </w:r>
          </w:p>
        </w:tc>
        <w:tc>
          <w:tcPr/>
          <w:p>
            <w:pPr>
              <w:pStyle w:val="Compact"/>
            </w:pPr>
            <w:r>
              <w:t xml:space="preserve">Status</w:t>
            </w:r>
          </w:p>
        </w:tc>
      </w:tr>
      <w:tr>
        <w:tc>
          <w:tcPr/>
          <w:p>
            <w:pPr>
              <w:pStyle w:val="Compact"/>
            </w:pPr>
            <w:r>
              <w:t xml:space="preserve">HTTPS production API requirement</w:t>
            </w:r>
          </w:p>
        </w:tc>
        <w:tc>
          <w:tcPr/>
          <w:p>
            <w:pPr>
              <w:pStyle w:val="Compact"/>
            </w:pPr>
            <w:r>
              <w:t xml:space="preserve">Implemented</w:t>
            </w:r>
          </w:p>
        </w:tc>
      </w:tr>
      <w:tr>
        <w:tc>
          <w:tcPr/>
          <w:p>
            <w:pPr>
              <w:pStyle w:val="Compact"/>
            </w:pPr>
            <w:r>
              <w:t xml:space="preserve">Security response headers</w:t>
            </w:r>
          </w:p>
        </w:tc>
        <w:tc>
          <w:tcPr/>
          <w:p>
            <w:pPr>
              <w:pStyle w:val="Compact"/>
            </w:pPr>
            <w:r>
              <w:t xml:space="preserve">Implemented</w:t>
            </w:r>
          </w:p>
        </w:tc>
      </w:tr>
      <w:tr>
        <w:tc>
          <w:tcPr/>
          <w:p>
            <w:pPr>
              <w:pStyle w:val="Compact"/>
            </w:pPr>
            <w:r>
              <w:t xml:space="preserve">Password hashing</w:t>
            </w:r>
          </w:p>
        </w:tc>
        <w:tc>
          <w:tcPr/>
          <w:p>
            <w:pPr>
              <w:pStyle w:val="Compact"/>
            </w:pPr>
            <w:r>
              <w:t xml:space="preserve">Implemented</w:t>
            </w:r>
          </w:p>
        </w:tc>
      </w:tr>
      <w:tr>
        <w:tc>
          <w:tcPr/>
          <w:p>
            <w:pPr>
              <w:pStyle w:val="Compact"/>
            </w:pPr>
            <w:r>
              <w:t xml:space="preserve">RBAC / deny-by-default</w:t>
            </w:r>
          </w:p>
        </w:tc>
        <w:tc>
          <w:tcPr/>
          <w:p>
            <w:pPr>
              <w:pStyle w:val="Compact"/>
            </w:pPr>
            <w:r>
              <w:t xml:space="preserve">Implemented</w:t>
            </w:r>
          </w:p>
        </w:tc>
      </w:tr>
      <w:tr>
        <w:tc>
          <w:tcPr/>
          <w:p>
            <w:pPr>
              <w:pStyle w:val="Compact"/>
            </w:pPr>
            <w:r>
              <w:t xml:space="preserve">Tenant-bound authorization</w:t>
            </w:r>
          </w:p>
        </w:tc>
        <w:tc>
          <w:tcPr/>
          <w:p>
            <w:pPr>
              <w:pStyle w:val="Compact"/>
            </w:pPr>
            <w:r>
              <w:t xml:space="preserve">Implemented</w:t>
            </w:r>
          </w:p>
        </w:tc>
      </w:tr>
      <w:tr>
        <w:tc>
          <w:tcPr/>
          <w:p>
            <w:pPr>
              <w:pStyle w:val="Compact"/>
            </w:pPr>
            <w:r>
              <w:t xml:space="preserve">Investor demo isolation</w:t>
            </w:r>
          </w:p>
        </w:tc>
        <w:tc>
          <w:tcPr/>
          <w:p>
            <w:pPr>
              <w:pStyle w:val="Compact"/>
            </w:pPr>
            <w:r>
              <w:t xml:space="preserve">Implemented</w:t>
            </w:r>
          </w:p>
        </w:tc>
      </w:tr>
      <w:tr>
        <w:tc>
          <w:tcPr/>
          <w:p>
            <w:pPr>
              <w:pStyle w:val="Compact"/>
            </w:pPr>
            <w:r>
              <w:t xml:space="preserve">Credential-free</w:t>
            </w:r>
            <w:r>
              <w:t xml:space="preserve"> </w:t>
            </w:r>
            <w:r>
              <w:rPr>
                <w:rStyle w:val="VerbatimChar"/>
              </w:rPr>
              <w:t xml:space="preserve">.env.example</w:t>
            </w:r>
          </w:p>
        </w:tc>
        <w:tc>
          <w:tcPr/>
          <w:p>
            <w:pPr>
              <w:pStyle w:val="Compact"/>
            </w:pPr>
            <w:r>
              <w:t xml:space="preserve">Implemented 2026-09-02</w:t>
            </w:r>
          </w:p>
        </w:tc>
      </w:tr>
      <w:tr>
        <w:tc>
          <w:tcPr/>
          <w:p>
            <w:pPr>
              <w:pStyle w:val="Compact"/>
            </w:pPr>
            <w:r>
              <w:t xml:space="preserve">Secret scanning in GitHub workflow</w:t>
            </w:r>
          </w:p>
        </w:tc>
        <w:tc>
          <w:tcPr/>
          <w:p>
            <w:pPr>
              <w:pStyle w:val="Compact"/>
            </w:pPr>
            <w:r>
              <w:t xml:space="preserve">Implemented 2026-09-02</w:t>
            </w:r>
          </w:p>
        </w:tc>
      </w:tr>
      <w:tr>
        <w:tc>
          <w:tcPr/>
          <w:p>
            <w:pPr>
              <w:pStyle w:val="Compact"/>
            </w:pPr>
            <w:r>
              <w:t xml:space="preserve">Dependency vulnerability audit</w:t>
            </w:r>
          </w:p>
        </w:tc>
        <w:tc>
          <w:tcPr/>
          <w:p>
            <w:pPr>
              <w:pStyle w:val="Compact"/>
            </w:pPr>
            <w:r>
              <w:t xml:space="preserve">GREEN / evidenced by successful Security Assurance application-security run on current release line</w:t>
            </w:r>
          </w:p>
        </w:tc>
      </w:tr>
      <w:tr>
        <w:tc>
          <w:tcPr/>
          <w:p>
            <w:pPr>
              <w:pStyle w:val="Compact"/>
            </w:pPr>
            <w:r>
              <w:t xml:space="preserve">Encryption at rest evidence on target</w:t>
            </w:r>
          </w:p>
        </w:tc>
        <w:tc>
          <w:tcPr/>
          <w:p>
            <w:pPr>
              <w:pStyle w:val="Compact"/>
            </w:pPr>
            <w:r>
              <w:t xml:space="preserve">OPEN</w:t>
            </w:r>
          </w:p>
        </w:tc>
      </w:tr>
      <w:tr>
        <w:tc>
          <w:tcPr/>
          <w:p>
            <w:pPr>
              <w:pStyle w:val="Compact"/>
            </w:pPr>
            <w:r>
              <w:t xml:space="preserve">Field-level encryption/tokenization for highly restricted fields</w:t>
            </w:r>
          </w:p>
        </w:tc>
        <w:tc>
          <w:tcPr/>
          <w:p>
            <w:pPr>
              <w:pStyle w:val="Compact"/>
            </w:pPr>
            <w:r>
              <w:t xml:space="preserve">OPEN / risk-assessment driven</w:t>
            </w:r>
          </w:p>
        </w:tc>
      </w:tr>
      <w:tr>
        <w:tc>
          <w:tcPr/>
          <w:p>
            <w:pPr>
              <w:pStyle w:val="Compact"/>
            </w:pPr>
            <w:r>
              <w:t xml:space="preserve">KMS/HSM-backed key hierarchy</w:t>
            </w:r>
          </w:p>
        </w:tc>
        <w:tc>
          <w:tcPr/>
          <w:p>
            <w:pPr>
              <w:pStyle w:val="Compact"/>
            </w:pPr>
            <w:r>
              <w:t xml:space="preserve">OPEN</w:t>
            </w:r>
          </w:p>
        </w:tc>
      </w:tr>
      <w:tr>
        <w:tc>
          <w:tcPr/>
          <w:p>
            <w:pPr>
              <w:pStyle w:val="Compact"/>
            </w:pPr>
            <w:r>
              <w:t xml:space="preserve">Key-rotation rehearsal</w:t>
            </w:r>
          </w:p>
        </w:tc>
        <w:tc>
          <w:tcPr/>
          <w:p>
            <w:pPr>
              <w:pStyle w:val="Compact"/>
            </w:pPr>
            <w:r>
              <w:t xml:space="preserve">OPEN</w:t>
            </w:r>
          </w:p>
        </w:tc>
      </w:tr>
      <w:tr>
        <w:tc>
          <w:tcPr/>
          <w:p>
            <w:pPr>
              <w:pStyle w:val="Compact"/>
            </w:pPr>
            <w:r>
              <w:t xml:space="preserve">Target backup encryption evidence</w:t>
            </w:r>
          </w:p>
        </w:tc>
        <w:tc>
          <w:tcPr/>
          <w:p>
            <w:pPr>
              <w:pStyle w:val="Compact"/>
            </w:pPr>
            <w:r>
              <w:t xml:space="preserve">OPEN</w:t>
            </w:r>
          </w:p>
        </w:tc>
      </w:tr>
    </w:tbl>
    <w:p>
      <w:pPr>
        <w:pStyle w:val="Heading2"/>
      </w:pPr>
      <w:bookmarkStart w:id="21" w:name="_d500a3e6e3af5a36e3a64a6f3e5e05ad8dc1708"/>
      <w:r>
        <w:t xml:space="preserve">Engineering rule</w:t>
      </w:r>
    </w:p>
    <w:p>
      <w:pPr>
        <w:pStyle w:val="FirstParagraph"/>
      </w:pPr>
      <w:r>
        <w:t xml:space="preserve">No production regulated-data claim is allowed until the OPEN controls above that apply to the target deployment are evidenced and approved. A code-level encryption helper without target key-management and storage evidence is not sufficient proof of PDPL security readiness.</w:t>
      </w:r>
    </w:p>
    <w:sectPr>
      <w:headerReference w:type="default" r:id="rId9"/>
      <w:footerReference w:type="default" r:id="rId1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80" w:after="40"/>
      <w:jc w:val="center"/>
      <w:pBdr>
        <w:top w:val="single" w:sz="8" w:space="6" w:color="C9A45B"/>
      </w:pBdr>
    </w:pPr>
    <w:r>
      <w:rPr>
        <w:rFonts w:ascii="Cairo" w:hAnsi="Cairo" w:cs="Cairo"/>
        <w:b/>
        <w:color w:val="0A0A0A"/>
        <w:sz w:val="16"/>
      </w:rPr>
      <w:t xml:space="preserve">HISN FCDOS — Where Trust Begins.   حِصْن ... حيث تبدأ الثقة   |   </w:t>
    </w:r>
    <w:r>
      <w:rPr>
        <w:rFonts w:ascii="Cairo" w:hAnsi="Cairo" w:cs="Cairo"/>
        <w:b/>
        <w:color w:val="C9A45B"/>
        <w:sz w:val="16"/>
      </w:rPr>
      <w:t>Security</w:t>
    </w:r>
    <w:r>
      <w:rPr>
        <w:rFonts w:ascii="Cairo" w:hAnsi="Cairo" w:cs="Cairo"/>
        <w:b/>
        <w:color w:val="0A0A0A"/>
        <w:sz w:val="16"/>
      </w:rPr>
      <w:t xml:space="preserve">   |   Page </w:t>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40" w:after="80"/>
      <w:jc w:val="left"/>
      <w:tabs>
        <w:tab w:val="center" w:pos="4680"/>
        <w:tab w:val="right" w:pos="9360"/>
      </w:tabs>
      <w:pBdr>
        <w:bottom w:val="single" w:sz="12" w:space="6" w:color="C9A45B"/>
      </w:pBd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822960"/>
                  </a:xfrm>
                  <a:prstGeom prst="rect"/>
                </pic:spPr>
              </pic:pic>
            </a:graphicData>
          </a:graphic>
        </wp:inline>
      </w:drawing>
    </w:r>
    <w:r>
      <w:rPr>
        <w:rFonts w:ascii="Cairo" w:hAnsi="Cairo" w:cs="Cairo"/>
        <w:sz w:val="28"/>
      </w:rPr>
      <w:tab/>
    </w:r>
    <w:r>
      <w:rPr>
        <w:rFonts w:ascii="Cairo" w:hAnsi="Cairo" w:cs="Cairo"/>
        <w:b/>
        <w:color w:val="C9A45B"/>
        <w:sz w:val="28"/>
      </w:rPr>
      <w:t>HISN FCDOS</w:t>
    </w:r>
    <w:r>
      <w:rPr>
        <w:rFonts w:ascii="Cairo" w:hAnsi="Cairo" w:cs="Cairo"/>
        <w:sz w:val="20"/>
      </w:rPr>
      <w:tab/>
    </w:r>
    <w:r>
      <w:rPr>
        <w:rFonts w:ascii="Cairo" w:hAnsi="Cairo" w:cs="Cairo"/>
        <w:b/>
        <w:color w:val="B8472D"/>
        <w:sz w:val="20"/>
      </w:rPr>
      <w:t>CONFIDENTIAL</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rPr>
      <w:rFonts w:ascii="Tajawal" w:hAnsi="Tajawal" w:cs="Tajawal"/>
    </w:rPr>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PDPL DATA PROTECTION BASELINE 2026-09-02</dc:title>
  <dc:creator>HISN Platform</dc:creator>
  <cp:keywords>HISN, FCDOS, financial crime, decision operating system</cp:keywords>
  <dcterms:created xsi:type="dcterms:W3CDTF">2026-10-13T12:56:55Z</dcterms:created>
  <dcterms:modified xsi:type="dcterms:W3CDTF">2026-10-13T12:56:55Z</dcterms:modified>
  <cp:lastModifiedBy>HISN Platform</cp:lastModifiedBy>
  <dc:description/>
  <cp:category>HISN FCDOS — Investor Data Room</cp:category>
  <cp:contentStatus>Confidential</cp:contentStatus>
  <dc:identifier/>
  <dc:language>en-US</dc:language>
  <dc:subject>HISN FCDOS Investor Data Room</dc:subject>
</cp:coreProperties>
</file>

<file path=docProps/custom.xml><?xml version="1.0" encoding="utf-8"?>
<Properties xmlns="http://schemas.openxmlformats.org/officeDocument/2006/custom-properties" xmlns:vt="http://schemas.openxmlformats.org/officeDocument/2006/docPropsVTypes"/>
</file>