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e80da252ba60cdabc33b7bda88785e4c88ff4bf"/>
      <w:r>
        <w:t xml:space="preserve">HISN Resilience &amp; Adversarial Test Standard</w:t>
      </w:r>
    </w:p>
    <w:p>
      <w:pPr>
        <w:pStyle w:val="FirstParagraph"/>
      </w:pPr>
      <w:r>
        <w:rPr>
          <w:b/>
          <w:bCs/>
        </w:rPr>
        <w:t xml:space="preserve">Directive:</w:t>
      </w:r>
      <w:r>
        <w:t xml:space="preserve"> </w:t>
      </w:r>
      <w:r>
        <w:t xml:space="preserve">043/2026</w:t>
      </w:r>
      <w:r>
        <w:t xml:space="preserve"> </w:t>
      </w:r>
      <w:r>
        <w:rPr>
          <w:b/>
          <w:bCs/>
        </w:rPr>
        <w:t xml:space="preserve">Scope:</w:t>
      </w:r>
      <w:r>
        <w:t xml:space="preserve"> </w:t>
      </w:r>
      <w:r>
        <w:t xml:space="preserve">API, runtime, tenant isolation, security controls, and transaction processing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RESTRICTED</w:t>
      </w:r>
    </w:p>
    <w:p>
      <w:pPr>
        <w:pStyle w:val="Heading2"/>
      </w:pPr>
      <w:bookmarkStart w:id="10" w:name="_objective"/>
      <w:r>
        <w:t xml:space="preserve">1. Objective</w:t>
      </w:r>
    </w:p>
    <w:p>
      <w:pPr>
        <w:pStyle w:val="FirstParagraph"/>
      </w:pPr>
      <w:r>
        <w:t xml:space="preserve">HISN security assurance must prove both resistance to hostile input and resilience under bounded transaction concurrency. The test program must detect:</w:t>
      </w:r>
    </w:p>
    <w:p>
      <w:pPr>
        <w:pStyle w:val="Compact"/>
        <w:numPr>
          <w:ilvl w:val="0"/>
          <w:numId w:val="1001"/>
        </w:numPr>
      </w:pPr>
      <w:r>
        <w:t xml:space="preserve">authentication/authorization abuse;</w:t>
      </w:r>
    </w:p>
    <w:p>
      <w:pPr>
        <w:pStyle w:val="Compact"/>
        <w:numPr>
          <w:ilvl w:val="0"/>
          <w:numId w:val="1001"/>
        </w:numPr>
      </w:pPr>
      <w:r>
        <w:t xml:space="preserve">tenant-boundary violations;</w:t>
      </w:r>
    </w:p>
    <w:p>
      <w:pPr>
        <w:pStyle w:val="Compact"/>
        <w:numPr>
          <w:ilvl w:val="0"/>
          <w:numId w:val="1001"/>
        </w:numPr>
      </w:pPr>
      <w:r>
        <w:t xml:space="preserve">injection-shaped input;</w:t>
      </w:r>
    </w:p>
    <w:p>
      <w:pPr>
        <w:pStyle w:val="Compact"/>
        <w:numPr>
          <w:ilvl w:val="0"/>
          <w:numId w:val="1001"/>
        </w:numPr>
      </w:pPr>
      <w:r>
        <w:t xml:space="preserve">path traversal and malformed payloads;</w:t>
      </w:r>
    </w:p>
    <w:p>
      <w:pPr>
        <w:pStyle w:val="Compact"/>
        <w:numPr>
          <w:ilvl w:val="0"/>
          <w:numId w:val="1001"/>
        </w:numPr>
      </w:pPr>
      <w:r>
        <w:t xml:space="preserve">oversized requests;</w:t>
      </w:r>
    </w:p>
    <w:p>
      <w:pPr>
        <w:pStyle w:val="Compact"/>
        <w:numPr>
          <w:ilvl w:val="0"/>
          <w:numId w:val="1001"/>
        </w:numPr>
      </w:pPr>
      <w:r>
        <w:t xml:space="preserve">exception disclosure;</w:t>
      </w:r>
    </w:p>
    <w:p>
      <w:pPr>
        <w:pStyle w:val="Compact"/>
        <w:numPr>
          <w:ilvl w:val="0"/>
          <w:numId w:val="1001"/>
        </w:numPr>
      </w:pPr>
      <w:r>
        <w:t xml:space="preserve">duplicate/replay pressure;</w:t>
      </w:r>
    </w:p>
    <w:p>
      <w:pPr>
        <w:pStyle w:val="Compact"/>
        <w:numPr>
          <w:ilvl w:val="0"/>
          <w:numId w:val="1001"/>
        </w:numPr>
      </w:pPr>
      <w:r>
        <w:t xml:space="preserve">dependency failures;</w:t>
      </w:r>
    </w:p>
    <w:p>
      <w:pPr>
        <w:pStyle w:val="Compact"/>
        <w:numPr>
          <w:ilvl w:val="0"/>
          <w:numId w:val="1001"/>
        </w:numPr>
      </w:pPr>
      <w:r>
        <w:t xml:space="preserve">transaction bursts and concurrency pressure;</w:t>
      </w:r>
    </w:p>
    <w:p>
      <w:pPr>
        <w:pStyle w:val="Compact"/>
        <w:numPr>
          <w:ilvl w:val="0"/>
          <w:numId w:val="1001"/>
        </w:numPr>
      </w:pPr>
      <w:r>
        <w:t xml:space="preserve">latency degradation and HTTP 5xx escalation.</w:t>
      </w:r>
    </w:p>
    <w:p>
      <w:pPr>
        <w:pStyle w:val="Heading2"/>
      </w:pPr>
      <w:bookmarkStart w:id="11" w:name="_08cdd65d854c925c63d7ece18a02850a01885f5"/>
      <w:r>
        <w:t xml:space="preserve">2. Safety model</w:t>
      </w:r>
    </w:p>
    <w:p>
      <w:pPr>
        <w:pStyle w:val="FirstParagraph"/>
      </w:pPr>
      <w:r>
        <w:t xml:space="preserve">Adversarial tests are non-destructive. They MUST:</w:t>
      </w:r>
    </w:p>
    <w:p>
      <w:pPr>
        <w:pStyle w:val="Compact"/>
        <w:numPr>
          <w:ilvl w:val="0"/>
          <w:numId w:val="1002"/>
        </w:numPr>
      </w:pPr>
      <w:r>
        <w:t xml:space="preserve">target only local CI, disposable assurance infrastructure, or explicitly authorized staging;</w:t>
      </w:r>
    </w:p>
    <w:p>
      <w:pPr>
        <w:pStyle w:val="Compact"/>
        <w:numPr>
          <w:ilvl w:val="0"/>
          <w:numId w:val="1002"/>
        </w:numPr>
      </w:pPr>
      <w:r>
        <w:t xml:space="preserve">never target third-party systems;</w:t>
      </w:r>
    </w:p>
    <w:p>
      <w:pPr>
        <w:pStyle w:val="Compact"/>
        <w:numPr>
          <w:ilvl w:val="0"/>
          <w:numId w:val="1002"/>
        </w:numPr>
      </w:pPr>
      <w:r>
        <w:t xml:space="preserve">use bounded request counts and concurrency;</w:t>
      </w:r>
    </w:p>
    <w:p>
      <w:pPr>
        <w:pStyle w:val="Compact"/>
        <w:numPr>
          <w:ilvl w:val="0"/>
          <w:numId w:val="1002"/>
        </w:numPr>
      </w:pPr>
      <w:r>
        <w:t xml:space="preserve">stop on sustained 5xx/error-rate thresholds;</w:t>
      </w:r>
    </w:p>
    <w:p>
      <w:pPr>
        <w:pStyle w:val="Compact"/>
        <w:numPr>
          <w:ilvl w:val="0"/>
          <w:numId w:val="1002"/>
        </w:numPr>
      </w:pPr>
      <w:r>
        <w:t xml:space="preserve">use synthetic identities and synthetic financial values;</w:t>
      </w:r>
    </w:p>
    <w:p>
      <w:pPr>
        <w:pStyle w:val="Compact"/>
        <w:numPr>
          <w:ilvl w:val="0"/>
          <w:numId w:val="1002"/>
        </w:numPr>
      </w:pPr>
      <w:r>
        <w:t xml:space="preserve">never attempt credential theft, persistence, privilege escalation against real systems, or data destruction.</w:t>
      </w:r>
    </w:p>
    <w:p>
      <w:pPr>
        <w:pStyle w:val="Heading2"/>
      </w:pPr>
      <w:bookmarkStart w:id="12" w:name="_2925034d5dbeb59eadfee4f1a0b5e562242fb12"/>
      <w:r>
        <w:t xml:space="preserve">3. CI assurance profile</w:t>
      </w:r>
    </w:p>
    <w:p>
      <w:pPr>
        <w:pStyle w:val="FirstParagraph"/>
      </w:pPr>
      <w:r>
        <w:t xml:space="preserve">The deterministic CI profile uses small bounded loads suitable for every pull request:</w:t>
      </w:r>
    </w:p>
    <w:p>
      <w:pPr>
        <w:pStyle w:val="Compact"/>
        <w:numPr>
          <w:ilvl w:val="0"/>
          <w:numId w:val="1003"/>
        </w:numPr>
      </w:pPr>
      <w:r>
        <w:t xml:space="preserve">concurrency: 8 workers;</w:t>
      </w:r>
    </w:p>
    <w:p>
      <w:pPr>
        <w:pStyle w:val="Compact"/>
        <w:numPr>
          <w:ilvl w:val="0"/>
          <w:numId w:val="1003"/>
        </w:numPr>
      </w:pPr>
      <w:r>
        <w:t xml:space="preserve">requests: 32 per scenario;</w:t>
      </w:r>
    </w:p>
    <w:p>
      <w:pPr>
        <w:pStyle w:val="Compact"/>
        <w:numPr>
          <w:ilvl w:val="0"/>
          <w:numId w:val="1003"/>
        </w:numPr>
      </w:pPr>
      <w:r>
        <w:t xml:space="preserve">payload size: &lt;= 256 KiB;</w:t>
      </w:r>
    </w:p>
    <w:p>
      <w:pPr>
        <w:pStyle w:val="Compact"/>
        <w:numPr>
          <w:ilvl w:val="0"/>
          <w:numId w:val="1003"/>
        </w:numPr>
      </w:pPr>
      <w:r>
        <w:t xml:space="preserve">per-request timeout: 5 seconds;</w:t>
      </w:r>
    </w:p>
    <w:p>
      <w:pPr>
        <w:pStyle w:val="Compact"/>
        <w:numPr>
          <w:ilvl w:val="0"/>
          <w:numId w:val="1003"/>
        </w:numPr>
      </w:pPr>
      <w:r>
        <w:t xml:space="preserve">hard 5xx ceiling: 0;</w:t>
      </w:r>
    </w:p>
    <w:p>
      <w:pPr>
        <w:pStyle w:val="Compact"/>
        <w:numPr>
          <w:ilvl w:val="0"/>
          <w:numId w:val="1003"/>
        </w:numPr>
      </w:pPr>
      <w:r>
        <w:t xml:space="preserve">no network target outside the test process.</w:t>
      </w:r>
    </w:p>
    <w:p>
      <w:pPr>
        <w:pStyle w:val="Heading2"/>
      </w:pPr>
      <w:bookmarkStart w:id="13" w:name="_56900964b0e52df044a57c489eade93447b26f3"/>
      <w:r>
        <w:t xml:space="preserve">4. Stress profile</w:t>
      </w:r>
    </w:p>
    <w:p>
      <w:pPr>
        <w:pStyle w:val="FirstParagraph"/>
      </w:pPr>
      <w:r>
        <w:t xml:space="preserve">The heavier profile is opt-in only through</w:t>
      </w:r>
      <w:r>
        <w:t xml:space="preserve"> </w:t>
      </w:r>
      <w:r>
        <w:rPr>
          <w:rStyle w:val="VerbatimChar"/>
        </w:rPr>
        <w:t xml:space="preserve">HISN_STRESS_ENABLED=1</w:t>
      </w:r>
      <w:r>
        <w:t xml:space="preserve"> </w:t>
      </w:r>
      <w:r>
        <w:t xml:space="preserve">and an explicit target allowlist. Defaults remain conservative:</w:t>
      </w:r>
    </w:p>
    <w:p>
      <w:pPr>
        <w:pStyle w:val="Compact"/>
        <w:numPr>
          <w:ilvl w:val="0"/>
          <w:numId w:val="1004"/>
        </w:numPr>
      </w:pPr>
      <w:r>
        <w:t xml:space="preserve">total requests: 1,000;</w:t>
      </w:r>
    </w:p>
    <w:p>
      <w:pPr>
        <w:pStyle w:val="Compact"/>
        <w:numPr>
          <w:ilvl w:val="0"/>
          <w:numId w:val="1004"/>
        </w:numPr>
      </w:pPr>
      <w:r>
        <w:t xml:space="preserve">concurrency: 32;</w:t>
      </w:r>
    </w:p>
    <w:p>
      <w:pPr>
        <w:pStyle w:val="Compact"/>
        <w:numPr>
          <w:ilvl w:val="0"/>
          <w:numId w:val="1004"/>
        </w:numPr>
      </w:pPr>
      <w:r>
        <w:t xml:space="preserve">timeout: 10 seconds;</w:t>
      </w:r>
    </w:p>
    <w:p>
      <w:pPr>
        <w:pStyle w:val="Compact"/>
        <w:numPr>
          <w:ilvl w:val="0"/>
          <w:numId w:val="1004"/>
        </w:numPr>
      </w:pPr>
      <w:r>
        <w:t xml:space="preserve">abort when 5xx ratio &gt; 1%;</w:t>
      </w:r>
    </w:p>
    <w:p>
      <w:pPr>
        <w:pStyle w:val="Compact"/>
        <w:numPr>
          <w:ilvl w:val="0"/>
          <w:numId w:val="1004"/>
        </w:numPr>
      </w:pPr>
      <w:r>
        <w:t xml:space="preserve">abort when timeout ratio &gt; 2%;</w:t>
      </w:r>
    </w:p>
    <w:p>
      <w:pPr>
        <w:pStyle w:val="Compact"/>
        <w:numPr>
          <w:ilvl w:val="0"/>
          <w:numId w:val="1004"/>
        </w:numPr>
      </w:pPr>
      <w:r>
        <w:t xml:space="preserve">report p50/p95/p99 latency;</w:t>
      </w:r>
    </w:p>
    <w:p>
      <w:pPr>
        <w:pStyle w:val="Compact"/>
        <w:numPr>
          <w:ilvl w:val="0"/>
          <w:numId w:val="1004"/>
        </w:numPr>
      </w:pPr>
      <w:r>
        <w:t xml:space="preserve">record throughput and accepted/rejected counts.</w:t>
      </w:r>
    </w:p>
    <w:p>
      <w:pPr>
        <w:pStyle w:val="FirstParagraph"/>
      </w:pPr>
      <w:r>
        <w:t xml:space="preserve">The stress profile must not be wired to production URLs by default.</w:t>
      </w:r>
    </w:p>
    <w:p>
      <w:pPr>
        <w:pStyle w:val="Heading2"/>
      </w:pPr>
      <w:bookmarkStart w:id="14" w:name="_c11b9266ba8d253c0ff27c8e9707eb339b7e353"/>
      <w:r>
        <w:t xml:space="preserve">5. Adversarial corpus</w:t>
      </w:r>
    </w:p>
    <w:p>
      <w:pPr>
        <w:pStyle w:val="FirstParagraph"/>
      </w:pPr>
      <w:r>
        <w:t xml:space="preserve">At minimum, test:</w:t>
      </w:r>
    </w:p>
    <w:p>
      <w:pPr>
        <w:pStyle w:val="Compact"/>
        <w:numPr>
          <w:ilvl w:val="0"/>
          <w:numId w:val="1005"/>
        </w:numPr>
      </w:pPr>
      <w:r>
        <w:t xml:space="preserve">SQL-injection-shaped strings;</w:t>
      </w:r>
    </w:p>
    <w:p>
      <w:pPr>
        <w:pStyle w:val="Compact"/>
        <w:numPr>
          <w:ilvl w:val="0"/>
          <w:numId w:val="1005"/>
        </w:numPr>
      </w:pPr>
      <w:r>
        <w:t xml:space="preserve">XSS-shaped strings;</w:t>
      </w:r>
    </w:p>
    <w:p>
      <w:pPr>
        <w:pStyle w:val="Compact"/>
        <w:numPr>
          <w:ilvl w:val="0"/>
          <w:numId w:val="1005"/>
        </w:numPr>
      </w:pPr>
      <w:r>
        <w:t xml:space="preserve">path traversal strings;</w:t>
      </w:r>
    </w:p>
    <w:p>
      <w:pPr>
        <w:pStyle w:val="Compact"/>
        <w:numPr>
          <w:ilvl w:val="0"/>
          <w:numId w:val="1005"/>
        </w:numPr>
      </w:pPr>
      <w:r>
        <w:t xml:space="preserve">invalid JSON/type confusion;</w:t>
      </w:r>
    </w:p>
    <w:p>
      <w:pPr>
        <w:pStyle w:val="Compact"/>
        <w:numPr>
          <w:ilvl w:val="0"/>
          <w:numId w:val="1005"/>
        </w:numPr>
      </w:pPr>
      <w:r>
        <w:t xml:space="preserve">oversized strings/arrays;</w:t>
      </w:r>
    </w:p>
    <w:p>
      <w:pPr>
        <w:pStyle w:val="Compact"/>
        <w:numPr>
          <w:ilvl w:val="0"/>
          <w:numId w:val="1005"/>
        </w:numPr>
      </w:pPr>
      <w:r>
        <w:t xml:space="preserve">duplicate fields;</w:t>
      </w:r>
    </w:p>
    <w:p>
      <w:pPr>
        <w:pStyle w:val="Compact"/>
        <w:numPr>
          <w:ilvl w:val="0"/>
          <w:numId w:val="1005"/>
        </w:numPr>
      </w:pPr>
      <w:r>
        <w:t xml:space="preserve">null/empty/missing required fields;</w:t>
      </w:r>
    </w:p>
    <w:p>
      <w:pPr>
        <w:pStyle w:val="Compact"/>
        <w:numPr>
          <w:ilvl w:val="0"/>
          <w:numId w:val="1005"/>
        </w:numPr>
      </w:pPr>
      <w:r>
        <w:t xml:space="preserve">malformed UUIDs and identifiers;</w:t>
      </w:r>
    </w:p>
    <w:p>
      <w:pPr>
        <w:pStyle w:val="Compact"/>
        <w:numPr>
          <w:ilvl w:val="0"/>
          <w:numId w:val="1005"/>
        </w:numPr>
      </w:pPr>
      <w:r>
        <w:t xml:space="preserve">unexpected nested objects;</w:t>
      </w:r>
    </w:p>
    <w:p>
      <w:pPr>
        <w:pStyle w:val="Compact"/>
        <w:numPr>
          <w:ilvl w:val="0"/>
          <w:numId w:val="1005"/>
        </w:numPr>
      </w:pPr>
      <w:r>
        <w:t xml:space="preserve">Unicode/control-character input;</w:t>
      </w:r>
    </w:p>
    <w:p>
      <w:pPr>
        <w:pStyle w:val="Compact"/>
        <w:numPr>
          <w:ilvl w:val="0"/>
          <w:numId w:val="1005"/>
        </w:numPr>
      </w:pPr>
      <w:r>
        <w:t xml:space="preserve">replayed transaction identifiers where replay controls exist.</w:t>
      </w:r>
    </w:p>
    <w:p>
      <w:pPr>
        <w:pStyle w:val="FirstParagraph"/>
      </w:pPr>
      <w:r>
        <w:t xml:space="preserve">The expected security property is not a specific HTTP status in every case; it is that malformed or hostile input never produces an unhandled 5xx, stack trace, SQL/provider leakage, cross-tenant data, or unsafe state transition.</w:t>
      </w:r>
    </w:p>
    <w:p>
      <w:pPr>
        <w:pStyle w:val="Heading2"/>
      </w:pPr>
      <w:bookmarkStart w:id="15" w:name="_bd771d00cdf6587011333be6d5971c34fbe3f15"/>
      <w:r>
        <w:t xml:space="preserve">6. Resilience assertions</w:t>
      </w:r>
    </w:p>
    <w:p>
      <w:pPr>
        <w:pStyle w:val="FirstParagraph"/>
      </w:pPr>
      <w:r>
        <w:t xml:space="preserve">A transaction burst is considered resilient only when:</w:t>
      </w:r>
    </w:p>
    <w:p>
      <w:pPr>
        <w:pStyle w:val="Compact"/>
        <w:numPr>
          <w:ilvl w:val="0"/>
          <w:numId w:val="1006"/>
        </w:numPr>
      </w:pPr>
      <w:r>
        <w:t xml:space="preserve">no uncontrolled process crash occurs;</w:t>
      </w:r>
    </w:p>
    <w:p>
      <w:pPr>
        <w:pStyle w:val="Compact"/>
        <w:numPr>
          <w:ilvl w:val="0"/>
          <w:numId w:val="1006"/>
        </w:numPr>
      </w:pPr>
      <w:r>
        <w:t xml:space="preserve">no unhandled 5xx responses occur in the CI profile;</w:t>
      </w:r>
    </w:p>
    <w:p>
      <w:pPr>
        <w:pStyle w:val="Compact"/>
        <w:numPr>
          <w:ilvl w:val="0"/>
          <w:numId w:val="1006"/>
        </w:numPr>
      </w:pPr>
      <w:r>
        <w:t xml:space="preserve">no cross-tenant result is observed;</w:t>
      </w:r>
    </w:p>
    <w:p>
      <w:pPr>
        <w:pStyle w:val="Compact"/>
        <w:numPr>
          <w:ilvl w:val="0"/>
          <w:numId w:val="1006"/>
        </w:numPr>
      </w:pPr>
      <w:r>
        <w:t xml:space="preserve">request latency remains bounded by the test budget;</w:t>
      </w:r>
    </w:p>
    <w:p>
      <w:pPr>
        <w:pStyle w:val="Compact"/>
        <w:numPr>
          <w:ilvl w:val="0"/>
          <w:numId w:val="1006"/>
        </w:numPr>
      </w:pPr>
      <w:r>
        <w:t xml:space="preserve">database/RLS controls remain active;</w:t>
      </w:r>
    </w:p>
    <w:p>
      <w:pPr>
        <w:pStyle w:val="Compact"/>
        <w:numPr>
          <w:ilvl w:val="0"/>
          <w:numId w:val="1006"/>
        </w:numPr>
      </w:pPr>
      <w:r>
        <w:t xml:space="preserve">evidence and decisions remain structurally valid;</w:t>
      </w:r>
    </w:p>
    <w:p>
      <w:pPr>
        <w:pStyle w:val="Compact"/>
        <w:numPr>
          <w:ilvl w:val="0"/>
          <w:numId w:val="1006"/>
        </w:numPr>
      </w:pPr>
      <w:r>
        <w:t xml:space="preserve">failures remain distinguishable from clean financial-crime decisions;</w:t>
      </w:r>
    </w:p>
    <w:p>
      <w:pPr>
        <w:pStyle w:val="Compact"/>
        <w:numPr>
          <w:ilvl w:val="0"/>
          <w:numId w:val="1006"/>
        </w:numPr>
      </w:pPr>
      <w:r>
        <w:t xml:space="preserve">the system recovers after the burst.</w:t>
      </w:r>
    </w:p>
    <w:p>
      <w:pPr>
        <w:pStyle w:val="Heading2"/>
      </w:pPr>
      <w:bookmarkStart w:id="16" w:name="_43ae25ad866943f3421a907c8e42f2b94a8dc8d"/>
      <w:r>
        <w:t xml:space="preserve">7. Release gate</w:t>
      </w:r>
    </w:p>
    <w:p>
      <w:pPr>
        <w:pStyle w:val="FirstParagraph"/>
      </w:pPr>
      <w:r>
        <w:rPr>
          <w:rStyle w:val="VerbatimChar"/>
        </w:rPr>
        <w:t xml:space="preserve">RESILIENCE_GREEN</w:t>
      </w:r>
      <w:r>
        <w:t xml:space="preserve"> </w:t>
      </w:r>
      <w:r>
        <w:t xml:space="preserve">requires:</w:t>
      </w:r>
    </w:p>
    <w:p>
      <w:pPr>
        <w:pStyle w:val="Compact"/>
        <w:numPr>
          <w:ilvl w:val="0"/>
          <w:numId w:val="1007"/>
        </w:numPr>
      </w:pPr>
      <w:r>
        <w:t xml:space="preserve">adversarial corpus passes;</w:t>
      </w:r>
    </w:p>
    <w:p>
      <w:pPr>
        <w:pStyle w:val="Compact"/>
        <w:numPr>
          <w:ilvl w:val="0"/>
          <w:numId w:val="1007"/>
        </w:numPr>
      </w:pPr>
      <w:r>
        <w:t xml:space="preserve">tenant negative tests pass;</w:t>
      </w:r>
    </w:p>
    <w:p>
      <w:pPr>
        <w:pStyle w:val="Compact"/>
        <w:numPr>
          <w:ilvl w:val="0"/>
          <w:numId w:val="1007"/>
        </w:numPr>
      </w:pPr>
      <w:r>
        <w:t xml:space="preserve">bounded concurrency profile passes;</w:t>
      </w:r>
    </w:p>
    <w:p>
      <w:pPr>
        <w:pStyle w:val="Compact"/>
        <w:numPr>
          <w:ilvl w:val="0"/>
          <w:numId w:val="1007"/>
        </w:numPr>
      </w:pPr>
      <w:r>
        <w:t xml:space="preserve">no sensitive error disclosure;</w:t>
      </w:r>
    </w:p>
    <w:p>
      <w:pPr>
        <w:pStyle w:val="Compact"/>
        <w:numPr>
          <w:ilvl w:val="0"/>
          <w:numId w:val="1007"/>
        </w:numPr>
      </w:pPr>
      <w:r>
        <w:t xml:space="preserve">no 5xx in the CI profile;</w:t>
      </w:r>
    </w:p>
    <w:p>
      <w:pPr>
        <w:pStyle w:val="Compact"/>
        <w:numPr>
          <w:ilvl w:val="0"/>
          <w:numId w:val="1007"/>
        </w:numPr>
      </w:pPr>
      <w:r>
        <w:t xml:space="preserve">full regression passes;</w:t>
      </w:r>
    </w:p>
    <w:p>
      <w:pPr>
        <w:pStyle w:val="Compact"/>
        <w:numPr>
          <w:ilvl w:val="0"/>
          <w:numId w:val="1007"/>
        </w:numPr>
      </w:pPr>
      <w:r>
        <w:t xml:space="preserve">stress results archived as assurance evidence for the release candidate.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RESILIENCE AND ADVERSARIAL TEST STANDARD</dc:title>
  <dc:creator>HISN Platform</dc:creator>
  <cp:keywords>HISN, FCDOS, financial crime, decision operating system</cp:keywords>
  <dcterms:created xsi:type="dcterms:W3CDTF">2026-10-13T12:56:56Z</dcterms:created>
  <dcterms:modified xsi:type="dcterms:W3CDTF">2026-10-13T12:56:56Z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