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a9fa9e44801b79dbca00fe855dc96f9ea0f9ffc"/>
      <w:r>
        <w:t xml:space="preserve">HISN Security Architecture</w:t>
      </w:r>
    </w:p>
    <w:p>
      <w:pPr>
        <w:pStyle w:val="Heading2"/>
      </w:pPr>
      <w:bookmarkStart w:id="10" w:name="_cfff560b9810433f6e2cd37d2dcf6c594786762"/>
      <w:r>
        <w:t xml:space="preserve">Security priority</w:t>
      </w:r>
    </w:p>
    <w:p>
      <w:pPr>
        <w:pStyle w:val="FirstParagraph"/>
      </w:pPr>
      <w:r>
        <w:t xml:space="preserve">Security is implemented in dependency order rather than as a late feature layer.</w:t>
      </w:r>
    </w:p>
    <w:p>
      <w:pPr>
        <w:pStyle w:val="Heading3"/>
      </w:pPr>
      <w:bookmarkStart w:id="11" w:name="_f6988ec7e737f394b9d9393f596f8a41b9e417e"/>
      <w:r>
        <w:t xml:space="preserve">P0 — mandatory foundation</w:t>
      </w:r>
    </w:p>
    <w:p>
      <w:pPr>
        <w:pStyle w:val="Compact"/>
        <w:numPr>
          <w:ilvl w:val="0"/>
          <w:numId w:val="1001"/>
        </w:numPr>
      </w:pPr>
      <w:r>
        <w:t xml:space="preserve">authentication and session/token controls;</w:t>
      </w:r>
    </w:p>
    <w:p>
      <w:pPr>
        <w:pStyle w:val="Compact"/>
        <w:numPr>
          <w:ilvl w:val="0"/>
          <w:numId w:val="1001"/>
        </w:numPr>
      </w:pPr>
      <w:r>
        <w:t xml:space="preserve">domain/action-scoped authorization;</w:t>
      </w:r>
    </w:p>
    <w:p>
      <w:pPr>
        <w:pStyle w:val="Compact"/>
        <w:numPr>
          <w:ilvl w:val="0"/>
          <w:numId w:val="1001"/>
        </w:numPr>
      </w:pPr>
      <w:r>
        <w:t xml:space="preserve">least privilege and separation of duties;</w:t>
      </w:r>
    </w:p>
    <w:p>
      <w:pPr>
        <w:pStyle w:val="Compact"/>
        <w:numPr>
          <w:ilvl w:val="0"/>
          <w:numId w:val="1001"/>
        </w:numPr>
      </w:pPr>
      <w:r>
        <w:t xml:space="preserve">environment-managed secrets;</w:t>
      </w:r>
    </w:p>
    <w:p>
      <w:pPr>
        <w:pStyle w:val="Compact"/>
        <w:numPr>
          <w:ilvl w:val="0"/>
          <w:numId w:val="1001"/>
        </w:numPr>
      </w:pPr>
      <w:r>
        <w:t xml:space="preserve">TLS for transport;</w:t>
      </w:r>
    </w:p>
    <w:p>
      <w:pPr>
        <w:pStyle w:val="Compact"/>
        <w:numPr>
          <w:ilvl w:val="0"/>
          <w:numId w:val="1001"/>
        </w:numPr>
      </w:pPr>
      <w:r>
        <w:t xml:space="preserve">input and API validation;</w:t>
      </w:r>
    </w:p>
    <w:p>
      <w:pPr>
        <w:pStyle w:val="Compact"/>
        <w:numPr>
          <w:ilvl w:val="0"/>
          <w:numId w:val="1001"/>
        </w:numPr>
      </w:pPr>
      <w:r>
        <w:t xml:space="preserve">dependency and supply-chain controls;</w:t>
      </w:r>
    </w:p>
    <w:p>
      <w:pPr>
        <w:pStyle w:val="Compact"/>
        <w:numPr>
          <w:ilvl w:val="0"/>
          <w:numId w:val="1001"/>
        </w:numPr>
      </w:pPr>
      <w:r>
        <w:t xml:space="preserve">security-event auditability;</w:t>
      </w:r>
    </w:p>
    <w:p>
      <w:pPr>
        <w:pStyle w:val="Compact"/>
        <w:numPr>
          <w:ilvl w:val="0"/>
          <w:numId w:val="1001"/>
        </w:numPr>
      </w:pPr>
      <w:r>
        <w:t xml:space="preserve">immutable/integrity-oriented audit controls.</w:t>
      </w:r>
    </w:p>
    <w:p>
      <w:pPr>
        <w:pStyle w:val="Heading3"/>
      </w:pPr>
      <w:bookmarkStart w:id="12" w:name="_b0ef1a6328871394bc37a84b940c8e330d6539b"/>
      <w:r>
        <w:t xml:space="preserve">P1 — data protection</w:t>
      </w:r>
    </w:p>
    <w:p>
      <w:pPr>
        <w:pStyle w:val="Compact"/>
        <w:numPr>
          <w:ilvl w:val="0"/>
          <w:numId w:val="1002"/>
        </w:numPr>
      </w:pPr>
      <w:r>
        <w:t xml:space="preserve">encryption at rest;</w:t>
      </w:r>
    </w:p>
    <w:p>
      <w:pPr>
        <w:pStyle w:val="Compact"/>
        <w:numPr>
          <w:ilvl w:val="0"/>
          <w:numId w:val="1002"/>
        </w:numPr>
      </w:pPr>
      <w:r>
        <w:t xml:space="preserve">protected handling of PII and regulated financial-crime data;</w:t>
      </w:r>
    </w:p>
    <w:p>
      <w:pPr>
        <w:pStyle w:val="Compact"/>
        <w:numPr>
          <w:ilvl w:val="0"/>
          <w:numId w:val="1002"/>
        </w:numPr>
      </w:pPr>
      <w:r>
        <w:t xml:space="preserve">centralized key-management strategy;</w:t>
      </w:r>
    </w:p>
    <w:p>
      <w:pPr>
        <w:pStyle w:val="Compact"/>
        <w:numPr>
          <w:ilvl w:val="0"/>
          <w:numId w:val="1002"/>
        </w:numPr>
      </w:pPr>
      <w:r>
        <w:t xml:space="preserve">key rotation;</w:t>
      </w:r>
    </w:p>
    <w:p>
      <w:pPr>
        <w:pStyle w:val="Compact"/>
        <w:numPr>
          <w:ilvl w:val="0"/>
          <w:numId w:val="1002"/>
        </w:numPr>
      </w:pPr>
      <w:r>
        <w:t xml:space="preserve">database backup encryption;</w:t>
      </w:r>
    </w:p>
    <w:p>
      <w:pPr>
        <w:pStyle w:val="Compact"/>
        <w:numPr>
          <w:ilvl w:val="0"/>
          <w:numId w:val="1002"/>
        </w:numPr>
      </w:pPr>
      <w:r>
        <w:t xml:space="preserve">restricted operational access.</w:t>
      </w:r>
    </w:p>
    <w:p>
      <w:pPr>
        <w:pStyle w:val="Heading3"/>
      </w:pPr>
      <w:bookmarkStart w:id="13" w:name="_cbde8be539d966837b3713c73c37f05b05dd053"/>
      <w:r>
        <w:t xml:space="preserve">P2 — advanced enterprise security</w:t>
      </w:r>
    </w:p>
    <w:p>
      <w:pPr>
        <w:pStyle w:val="Compact"/>
        <w:numPr>
          <w:ilvl w:val="0"/>
          <w:numId w:val="1003"/>
        </w:numPr>
      </w:pPr>
      <w:r>
        <w:t xml:space="preserve">tenant isolation controls;</w:t>
      </w:r>
    </w:p>
    <w:p>
      <w:pPr>
        <w:pStyle w:val="Compact"/>
        <w:numPr>
          <w:ilvl w:val="0"/>
          <w:numId w:val="1003"/>
        </w:numPr>
      </w:pPr>
      <w:r>
        <w:t xml:space="preserve">service-to-service identity;</w:t>
      </w:r>
    </w:p>
    <w:p>
      <w:pPr>
        <w:pStyle w:val="Compact"/>
        <w:numPr>
          <w:ilvl w:val="0"/>
          <w:numId w:val="1003"/>
        </w:numPr>
      </w:pPr>
      <w:r>
        <w:t xml:space="preserve">zero-trust authorization patterns;</w:t>
      </w:r>
    </w:p>
    <w:p>
      <w:pPr>
        <w:pStyle w:val="Compact"/>
        <w:numPr>
          <w:ilvl w:val="0"/>
          <w:numId w:val="1003"/>
        </w:numPr>
      </w:pPr>
      <w:r>
        <w:t xml:space="preserve">hardened runtime/network segmentation;</w:t>
      </w:r>
    </w:p>
    <w:p>
      <w:pPr>
        <w:pStyle w:val="Compact"/>
        <w:numPr>
          <w:ilvl w:val="0"/>
          <w:numId w:val="1003"/>
        </w:numPr>
      </w:pPr>
      <w:r>
        <w:t xml:space="preserve">continuous vulnerability management;</w:t>
      </w:r>
    </w:p>
    <w:p>
      <w:pPr>
        <w:pStyle w:val="Compact"/>
        <w:numPr>
          <w:ilvl w:val="0"/>
          <w:numId w:val="1003"/>
        </w:numPr>
      </w:pPr>
      <w:r>
        <w:t xml:space="preserve">incident-response integration;</w:t>
      </w:r>
    </w:p>
    <w:p>
      <w:pPr>
        <w:pStyle w:val="Compact"/>
        <w:numPr>
          <w:ilvl w:val="0"/>
          <w:numId w:val="1003"/>
        </w:numPr>
      </w:pPr>
      <w:r>
        <w:t xml:space="preserve">cryptographically verifiable evidence where required.</w:t>
      </w:r>
    </w:p>
    <w:p>
      <w:pPr>
        <w:pStyle w:val="Heading2"/>
      </w:pPr>
      <w:bookmarkStart w:id="14" w:name="_5dac228deae15c00b93b208e4abde648e6cb6c9"/>
      <w:r>
        <w:t xml:space="preserve">Data classification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Class</w:t>
            </w:r>
          </w:p>
        </w:tc>
        <w:tc>
          <w:tcPr/>
          <w:p>
            <w:pPr>
              <w:pStyle w:val="Compact"/>
            </w:pPr>
            <w:r>
              <w:t xml:space="preserve">Default handling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Public</w:t>
            </w:r>
          </w:p>
        </w:tc>
        <w:tc>
          <w:tcPr/>
          <w:p>
            <w:pPr>
              <w:pStyle w:val="Compact"/>
            </w:pPr>
            <w:r>
              <w:t xml:space="preserve">No special confidentiality requirement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Internal</w:t>
            </w:r>
          </w:p>
        </w:tc>
        <w:tc>
          <w:tcPr/>
          <w:p>
            <w:pPr>
              <w:pStyle w:val="Compact"/>
            </w:pPr>
            <w:r>
              <w:t xml:space="preserve">Authenticated access and controlled distribution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Confidential</w:t>
            </w:r>
          </w:p>
        </w:tc>
        <w:tc>
          <w:tcPr/>
          <w:p>
            <w:pPr>
              <w:pStyle w:val="Compact"/>
            </w:pPr>
            <w:r>
              <w:t xml:space="preserve">Least-privilege access and protected transport/storage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Restricted</w:t>
            </w:r>
          </w:p>
        </w:tc>
        <w:tc>
          <w:tcPr/>
          <w:p>
            <w:pPr>
              <w:pStyle w:val="Compact"/>
            </w:pPr>
            <w:r>
              <w:t xml:space="preserve">Strong authorization, encryption, auditability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Highly Restricted</w:t>
            </w:r>
          </w:p>
        </w:tc>
        <w:tc>
          <w:tcPr/>
          <w:p>
            <w:pPr>
              <w:pStyle w:val="Compact"/>
            </w:pPr>
            <w:r>
              <w:t xml:space="preserve">Strongest authorization, encryption, audit, access review, minimal exposure</w:t>
            </w:r>
          </w:p>
        </w:tc>
      </w:tr>
    </w:tbl>
    <w:p>
      <w:pPr>
        <w:pStyle w:val="FirstParagraph"/>
      </w:pPr>
      <w:r>
        <w:t xml:space="preserve">PEP, sanctions, case evidence, decision records, SAR/STR data, and audit records are treated as Highly Restricted unless a documented classification says otherwise.</w:t>
      </w:r>
    </w:p>
    <w:p>
      <w:pPr>
        <w:pStyle w:val="Heading2"/>
      </w:pPr>
      <w:bookmarkStart w:id="15" w:name="_96edf537f9f6ca79325baa9a7b48b29e39db37d"/>
      <w:r>
        <w:t xml:space="preserve">Encryption policy</w:t>
      </w:r>
    </w:p>
    <w:p>
      <w:pPr>
        <w:pStyle w:val="SourceCode"/>
      </w:pPr>
      <w:r>
        <w:rPr>
          <w:rStyle w:val="VerbatimChar"/>
        </w:rPr>
        <w:t xml:space="preserve">Client -&gt; TLS -&gt; API</w:t>
      </w:r>
      <w:r>
        <w:br/>
      </w:r>
      <w:r>
        <w:rPr>
          <w:rStyle w:val="VerbatimChar"/>
        </w:rPr>
        <w:t xml:space="preserve">               |</w:t>
      </w:r>
      <w:r>
        <w:br/>
      </w:r>
      <w:r>
        <w:rPr>
          <w:rStyle w:val="VerbatimChar"/>
        </w:rPr>
        <w:t xml:space="preserve">               +-&gt; encrypted persistence (P1)</w:t>
      </w:r>
      <w:r>
        <w:br/>
      </w:r>
      <w:r>
        <w:rPr>
          <w:rStyle w:val="VerbatimChar"/>
        </w:rPr>
        <w:t xml:space="preserve">               |</w:t>
      </w:r>
      <w:r>
        <w:br/>
      </w:r>
      <w:r>
        <w:rPr>
          <w:rStyle w:val="VerbatimChar"/>
        </w:rPr>
        <w:t xml:space="preserve">               +-&gt; managed secrets / keys</w:t>
      </w:r>
    </w:p>
    <w:p>
      <w:pPr>
        <w:pStyle w:val="FirstParagraph"/>
      </w:pPr>
      <w:r>
        <w:t xml:space="preserve">Encryption keys must not be stored in source control, application configuration files committed to Git, or database tables as plaintext secrets. Key-management implementation is intentionally phased so that application boundaries are stabilized before introducing irreversible cryptographic coupling.</w:t>
      </w:r>
    </w:p>
    <w:p>
      <w:pPr>
        <w:pStyle w:val="Heading2"/>
      </w:pPr>
      <w:bookmarkStart w:id="16" w:name="_2318a1d14b7df82c72421f551c73c6368480478"/>
      <w:r>
        <w:t xml:space="preserve">Security boundary rules</w:t>
      </w:r>
    </w:p>
    <w:p>
      <w:pPr>
        <w:pStyle w:val="Compact"/>
        <w:numPr>
          <w:ilvl w:val="0"/>
          <w:numId w:val="1004"/>
        </w:numPr>
      </w:pPr>
      <w:r>
        <w:t xml:space="preserve">Authentication is not authorization.</w:t>
      </w:r>
    </w:p>
    <w:p>
      <w:pPr>
        <w:pStyle w:val="Compact"/>
        <w:numPr>
          <w:ilvl w:val="0"/>
          <w:numId w:val="1004"/>
        </w:numPr>
      </w:pPr>
      <w:r>
        <w:t xml:space="preserve">Authorization is evaluated at the domain/action/resource boundary.</w:t>
      </w:r>
    </w:p>
    <w:p>
      <w:pPr>
        <w:pStyle w:val="Compact"/>
        <w:numPr>
          <w:ilvl w:val="0"/>
          <w:numId w:val="1004"/>
        </w:numPr>
      </w:pPr>
      <w:r>
        <w:t xml:space="preserve">Security-sensitive actions produce audit events.</w:t>
      </w:r>
    </w:p>
    <w:p>
      <w:pPr>
        <w:pStyle w:val="Compact"/>
        <w:numPr>
          <w:ilvl w:val="0"/>
          <w:numId w:val="1004"/>
        </w:numPr>
      </w:pPr>
      <w:r>
        <w:t xml:space="preserve">Secrets never enter logs or source control.</w:t>
      </w:r>
    </w:p>
    <w:p>
      <w:pPr>
        <w:pStyle w:val="Compact"/>
        <w:numPr>
          <w:ilvl w:val="0"/>
          <w:numId w:val="1004"/>
        </w:numPr>
      </w:pPr>
      <w:r>
        <w:t xml:space="preserve">Domain owners own the security requirements of their data; platform security defines the baseline controls.</w:t>
      </w:r>
    </w:p>
    <w:p>
      <w:pPr>
        <w:pStyle w:val="Compact"/>
        <w:numPr>
          <w:ilvl w:val="0"/>
          <w:numId w:val="1004"/>
        </w:numPr>
      </w:pPr>
      <w:r>
        <w:t xml:space="preserve">Security controls must not create alternate business-domain ownership.</w:t>
      </w:r>
    </w:p>
    <w:p>
      <w:pPr>
        <w:pStyle w:val="Compact"/>
        <w:numPr>
          <w:ilvl w:val="0"/>
          <w:numId w:val="1004"/>
        </w:numPr>
      </w:pPr>
      <w:r>
        <w:t xml:space="preserve">AI/ML cannot bypass security, authorization, governance, or approval controls.</w:t>
      </w:r>
    </w:p>
    <w:p>
      <w:pPr>
        <w:pStyle w:val="Heading2"/>
      </w:pPr>
      <w:bookmarkStart w:id="17" w:name="_a9ceb6cde79b18ec3c7531fa926d41e5d532b06"/>
      <w:r>
        <w:t xml:space="preserve">Security architecture acceptance gate</w:t>
      </w:r>
    </w:p>
    <w:p>
      <w:pPr>
        <w:pStyle w:val="FirstParagraph"/>
      </w:pPr>
      <w:r>
        <w:t xml:space="preserve">A new sensitive capability is not production-ready until its identity, authorization, data classification, secret handling, encryption requirement, audit behavior, dependency exposure, and failure mode are documented and tested.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Security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ARCHITECTURE</dc:title>
  <dc:creator>HISN Platform</dc:creator>
  <cp:keywords>HISN, FCDOS, financial crime, decision operating system</cp:keywords>
  <dcterms:created xsi:type="dcterms:W3CDTF">2026-10-13T12:56:53Z</dcterms:created>
  <dcterms:modified xsi:type="dcterms:W3CDTF">2026-10-13T12:56:53Z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