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9" w:name="_9df8e2d4079d538019bb067c19563d39d512736"/>
      <w:r>
        <w:t xml:space="preserve">HISN Security and Encryption Roadmap</w:t>
      </w:r>
    </w:p>
    <w:p>
      <w:pPr>
        <w:pStyle w:val="Heading2"/>
      </w:pPr>
      <w:bookmarkStart w:id="10" w:name="_status"/>
      <w:r>
        <w:t xml:space="preserve">Status</w:t>
      </w:r>
    </w:p>
    <w:p>
      <w:pPr>
        <w:pStyle w:val="FirstParagraph"/>
      </w:pPr>
      <w:r>
        <w:t xml:space="preserve">Canonical baseline — phased implementation.</w:t>
      </w:r>
    </w:p>
    <w:p>
      <w:pPr>
        <w:pStyle w:val="Heading2"/>
      </w:pPr>
      <w:bookmarkStart w:id="11" w:name="_266f20ff49a4d95b3fc9401263134a02c454f6d"/>
      <w:r>
        <w:t xml:space="preserve">Security priority order</w:t>
      </w:r>
    </w:p>
    <w:p>
      <w:pPr>
        <w:pStyle w:val="FirstParagraph"/>
      </w:pPr>
      <w:r>
        <w:t xml:space="preserve">Security controls are implemented in dependency order. Encryption is not used to compensate for weak authorization or unclear ownership boundaries.</w:t>
      </w:r>
    </w:p>
    <w:p>
      <w:pPr>
        <w:pStyle w:val="Heading3"/>
      </w:pPr>
      <w:bookmarkStart w:id="12" w:name="_cbcf47a55e831d217978c362649404cdd6e2947"/>
      <w:r>
        <w:t xml:space="preserve">P0 — Boundary and access control</w:t>
      </w:r>
    </w:p>
    <w:p>
      <w:pPr>
        <w:pStyle w:val="Compact"/>
        <w:numPr>
          <w:ilvl w:val="0"/>
          <w:numId w:val="1001"/>
        </w:numPr>
      </w:pPr>
      <w:r>
        <w:t xml:space="preserve">canonical domain ownership;</w:t>
      </w:r>
    </w:p>
    <w:p>
      <w:pPr>
        <w:pStyle w:val="Compact"/>
        <w:numPr>
          <w:ilvl w:val="0"/>
          <w:numId w:val="1001"/>
        </w:numPr>
      </w:pPr>
      <w:r>
        <w:t xml:space="preserve">tenant context and tenant isolation;</w:t>
      </w:r>
    </w:p>
    <w:p>
      <w:pPr>
        <w:pStyle w:val="Compact"/>
        <w:numPr>
          <w:ilvl w:val="0"/>
          <w:numId w:val="1001"/>
        </w:numPr>
      </w:pPr>
      <w:r>
        <w:t xml:space="preserve">authentication and session security;</w:t>
      </w:r>
    </w:p>
    <w:p>
      <w:pPr>
        <w:pStyle w:val="Compact"/>
        <w:numPr>
          <w:ilvl w:val="0"/>
          <w:numId w:val="1001"/>
        </w:numPr>
      </w:pPr>
      <w:r>
        <w:t xml:space="preserve">least-privilege authorization;</w:t>
      </w:r>
    </w:p>
    <w:p>
      <w:pPr>
        <w:pStyle w:val="Compact"/>
        <w:numPr>
          <w:ilvl w:val="0"/>
          <w:numId w:val="1001"/>
        </w:numPr>
      </w:pPr>
      <w:r>
        <w:t xml:space="preserve">domain/action/resource permissions;</w:t>
      </w:r>
    </w:p>
    <w:p>
      <w:pPr>
        <w:pStyle w:val="Compact"/>
        <w:numPr>
          <w:ilvl w:val="0"/>
          <w:numId w:val="1001"/>
        </w:numPr>
      </w:pPr>
      <w:r>
        <w:t xml:space="preserve">separation of duties;</w:t>
      </w:r>
    </w:p>
    <w:p>
      <w:pPr>
        <w:pStyle w:val="Compact"/>
        <w:numPr>
          <w:ilvl w:val="0"/>
          <w:numId w:val="1001"/>
        </w:numPr>
      </w:pPr>
      <w:r>
        <w:t xml:space="preserve">privileged-access auditing;</w:t>
      </w:r>
    </w:p>
    <w:p>
      <w:pPr>
        <w:pStyle w:val="Compact"/>
        <w:numPr>
          <w:ilvl w:val="0"/>
          <w:numId w:val="1001"/>
        </w:numPr>
      </w:pPr>
      <w:r>
        <w:t xml:space="preserve">security-event audit trail.</w:t>
      </w:r>
    </w:p>
    <w:p>
      <w:pPr>
        <w:pStyle w:val="Heading3"/>
      </w:pPr>
      <w:bookmarkStart w:id="13" w:name="_dae60737859c8dfe578afd7fbc5cb96dba1ab58"/>
      <w:r>
        <w:t xml:space="preserve">P1 — Cryptographic baseline</w:t>
      </w:r>
    </w:p>
    <w:p>
      <w:pPr>
        <w:pStyle w:val="Compact"/>
        <w:numPr>
          <w:ilvl w:val="0"/>
          <w:numId w:val="1002"/>
        </w:numPr>
      </w:pPr>
      <w:r>
        <w:t xml:space="preserve">TLS for all network paths;</w:t>
      </w:r>
    </w:p>
    <w:p>
      <w:pPr>
        <w:pStyle w:val="Compact"/>
        <w:numPr>
          <w:ilvl w:val="0"/>
          <w:numId w:val="1002"/>
        </w:numPr>
      </w:pPr>
      <w:r>
        <w:t xml:space="preserve">encryption at rest for production data stores;</w:t>
      </w:r>
    </w:p>
    <w:p>
      <w:pPr>
        <w:pStyle w:val="Compact"/>
        <w:numPr>
          <w:ilvl w:val="0"/>
          <w:numId w:val="1002"/>
        </w:numPr>
      </w:pPr>
      <w:r>
        <w:t xml:space="preserve">centralized secrets management;</w:t>
      </w:r>
    </w:p>
    <w:p>
      <w:pPr>
        <w:pStyle w:val="Compact"/>
        <w:numPr>
          <w:ilvl w:val="0"/>
          <w:numId w:val="1002"/>
        </w:numPr>
      </w:pPr>
      <w:r>
        <w:t xml:space="preserve">key rotation policy;</w:t>
      </w:r>
    </w:p>
    <w:p>
      <w:pPr>
        <w:pStyle w:val="Compact"/>
        <w:numPr>
          <w:ilvl w:val="0"/>
          <w:numId w:val="1002"/>
        </w:numPr>
      </w:pPr>
      <w:r>
        <w:t xml:space="preserve">cryptographic configuration inventory;</w:t>
      </w:r>
    </w:p>
    <w:p>
      <w:pPr>
        <w:pStyle w:val="Compact"/>
        <w:numPr>
          <w:ilvl w:val="0"/>
          <w:numId w:val="1002"/>
        </w:numPr>
      </w:pPr>
      <w:r>
        <w:t xml:space="preserve">backup encryption.</w:t>
      </w:r>
    </w:p>
    <w:p>
      <w:pPr>
        <w:pStyle w:val="Heading3"/>
      </w:pPr>
      <w:bookmarkStart w:id="14" w:name="_dbea11c8cd693e7b28674efd3e3f419d58564ed"/>
      <w:r>
        <w:t xml:space="preserve">P2 — Sensitive-data protection</w:t>
      </w:r>
    </w:p>
    <w:p>
      <w:pPr>
        <w:pStyle w:val="FirstParagraph"/>
      </w:pPr>
      <w:r>
        <w:t xml:space="preserve">Prioritize highly restricted domains first:</w:t>
      </w:r>
    </w:p>
    <w:p>
      <w:pPr>
        <w:pStyle w:val="Compact"/>
        <w:numPr>
          <w:ilvl w:val="0"/>
          <w:numId w:val="1003"/>
        </w:numPr>
      </w:pPr>
      <w:r>
        <w:t xml:space="preserve">PEP</w:t>
      </w:r>
    </w:p>
    <w:p>
      <w:pPr>
        <w:pStyle w:val="Compact"/>
        <w:numPr>
          <w:ilvl w:val="0"/>
          <w:numId w:val="1003"/>
        </w:numPr>
      </w:pPr>
      <w:r>
        <w:t xml:space="preserve">Sanctions</w:t>
      </w:r>
    </w:p>
    <w:p>
      <w:pPr>
        <w:pStyle w:val="Compact"/>
        <w:numPr>
          <w:ilvl w:val="0"/>
          <w:numId w:val="1003"/>
        </w:numPr>
      </w:pPr>
      <w:r>
        <w:t xml:space="preserve">Case Management</w:t>
      </w:r>
    </w:p>
    <w:p>
      <w:pPr>
        <w:pStyle w:val="Compact"/>
        <w:numPr>
          <w:ilvl w:val="0"/>
          <w:numId w:val="1003"/>
        </w:numPr>
      </w:pPr>
      <w:r>
        <w:t xml:space="preserve">Evidence</w:t>
      </w:r>
    </w:p>
    <w:p>
      <w:pPr>
        <w:pStyle w:val="Compact"/>
        <w:numPr>
          <w:ilvl w:val="0"/>
          <w:numId w:val="1003"/>
        </w:numPr>
      </w:pPr>
      <w:r>
        <w:t xml:space="preserve">Decision</w:t>
      </w:r>
    </w:p>
    <w:p>
      <w:pPr>
        <w:pStyle w:val="Compact"/>
        <w:numPr>
          <w:ilvl w:val="0"/>
          <w:numId w:val="1003"/>
        </w:numPr>
      </w:pPr>
      <w:r>
        <w:t xml:space="preserve">Audit</w:t>
      </w:r>
    </w:p>
    <w:p>
      <w:pPr>
        <w:pStyle w:val="Compact"/>
        <w:numPr>
          <w:ilvl w:val="0"/>
          <w:numId w:val="1003"/>
        </w:numPr>
      </w:pPr>
      <w:r>
        <w:t xml:space="preserve">SAR</w:t>
      </w:r>
    </w:p>
    <w:p>
      <w:pPr>
        <w:pStyle w:val="FirstParagraph"/>
      </w:pPr>
      <w:r>
        <w:t xml:space="preserve">Apply field-level encryption or tokenization only where threat modeling and operational requirements justify it. Avoid indiscriminate application-level encryption that prevents legitimate query, indexing, retention, or forensic operations.</w:t>
      </w:r>
    </w:p>
    <w:p>
      <w:pPr>
        <w:pStyle w:val="Heading3"/>
      </w:pPr>
      <w:bookmarkStart w:id="15" w:name="_40e8da74b551868d62d4c87dc3542993d3fb57e"/>
      <w:r>
        <w:t xml:space="preserve">P3 — Enterprise cryptographic isolation</w:t>
      </w:r>
    </w:p>
    <w:p>
      <w:pPr>
        <w:pStyle w:val="Compact"/>
        <w:numPr>
          <w:ilvl w:val="0"/>
          <w:numId w:val="1004"/>
        </w:numPr>
      </w:pPr>
      <w:r>
        <w:t xml:space="preserve">tenant-aware key hierarchy;</w:t>
      </w:r>
    </w:p>
    <w:p>
      <w:pPr>
        <w:pStyle w:val="Compact"/>
        <w:numPr>
          <w:ilvl w:val="0"/>
          <w:numId w:val="1004"/>
        </w:numPr>
      </w:pPr>
      <w:r>
        <w:t xml:space="preserve">customer-managed keys where contractually required;</w:t>
      </w:r>
    </w:p>
    <w:p>
      <w:pPr>
        <w:pStyle w:val="Compact"/>
        <w:numPr>
          <w:ilvl w:val="0"/>
          <w:numId w:val="1004"/>
        </w:numPr>
      </w:pPr>
      <w:r>
        <w:t xml:space="preserve">HSM/KMS integration;</w:t>
      </w:r>
    </w:p>
    <w:p>
      <w:pPr>
        <w:pStyle w:val="Compact"/>
        <w:numPr>
          <w:ilvl w:val="0"/>
          <w:numId w:val="1004"/>
        </w:numPr>
      </w:pPr>
      <w:r>
        <w:t xml:space="preserve">key access separation from application operators;</w:t>
      </w:r>
    </w:p>
    <w:p>
      <w:pPr>
        <w:pStyle w:val="Compact"/>
        <w:numPr>
          <w:ilvl w:val="0"/>
          <w:numId w:val="1004"/>
        </w:numPr>
      </w:pPr>
      <w:r>
        <w:t xml:space="preserve">cryptographic audit events;</w:t>
      </w:r>
    </w:p>
    <w:p>
      <w:pPr>
        <w:pStyle w:val="Compact"/>
        <w:numPr>
          <w:ilvl w:val="0"/>
          <w:numId w:val="1004"/>
        </w:numPr>
      </w:pPr>
      <w:r>
        <w:t xml:space="preserve">controlled key rotation and re-encryption procedures.</w:t>
      </w:r>
    </w:p>
    <w:p>
      <w:pPr>
        <w:pStyle w:val="Heading2"/>
      </w:pPr>
      <w:bookmarkStart w:id="16" w:name="_5dac228deae15c00b93b208e4abde648e6cb6c9"/>
      <w:r>
        <w:t xml:space="preserve">Data classification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Classification</w:t>
            </w:r>
          </w:p>
        </w:tc>
        <w:tc>
          <w:tcPr/>
          <w:p>
            <w:pPr>
              <w:pStyle w:val="Compact"/>
            </w:pPr>
            <w:r>
              <w:t xml:space="preserve">Examples</w:t>
            </w:r>
          </w:p>
        </w:tc>
        <w:tc>
          <w:tcPr/>
          <w:p>
            <w:pPr>
              <w:pStyle w:val="Compact"/>
            </w:pPr>
            <w:r>
              <w:t xml:space="preserve">Baseline</w:t>
            </w:r>
          </w:p>
        </w:tc>
      </w:tr>
      <w:tr>
        <w:tc>
          <w:tcPr/>
          <w:p>
            <w:pPr>
              <w:pStyle w:val="Compact"/>
            </w:pPr>
            <w:r>
              <w:t xml:space="preserve">Public</w:t>
            </w:r>
          </w:p>
        </w:tc>
        <w:tc>
          <w:tcPr/>
          <w:p>
            <w:pPr>
              <w:pStyle w:val="Compact"/>
            </w:pPr>
            <w:r>
              <w:t xml:space="preserve">public product metadata</w:t>
            </w:r>
          </w:p>
        </w:tc>
        <w:tc>
          <w:tcPr/>
          <w:p>
            <w:pPr>
              <w:pStyle w:val="Compact"/>
            </w:pPr>
            <w:r>
              <w:t xml:space="preserve">integrity controls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Internal</w:t>
            </w:r>
          </w:p>
        </w:tc>
        <w:tc>
          <w:tcPr/>
          <w:p>
            <w:pPr>
              <w:pStyle w:val="Compact"/>
            </w:pPr>
            <w:r>
              <w:t xml:space="preserve">operational metadata</w:t>
            </w:r>
          </w:p>
        </w:tc>
        <w:tc>
          <w:tcPr/>
          <w:p>
            <w:pPr>
              <w:pStyle w:val="Compact"/>
            </w:pPr>
            <w:r>
              <w:t xml:space="preserve">access control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Confidential</w:t>
            </w:r>
          </w:p>
        </w:tc>
        <w:tc>
          <w:tcPr/>
          <w:p>
            <w:pPr>
              <w:pStyle w:val="Compact"/>
            </w:pPr>
            <w:r>
              <w:t xml:space="preserve">executive/business information</w:t>
            </w:r>
          </w:p>
        </w:tc>
        <w:tc>
          <w:tcPr/>
          <w:p>
            <w:pPr>
              <w:pStyle w:val="Compact"/>
            </w:pPr>
            <w:r>
              <w:t xml:space="preserve">encryption + least privilege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Restricted</w:t>
            </w:r>
          </w:p>
        </w:tc>
        <w:tc>
          <w:tcPr/>
          <w:p>
            <w:pPr>
              <w:pStyle w:val="Compact"/>
            </w:pPr>
            <w:r>
              <w:t xml:space="preserve">KYC, KYB, AML, Fraud</w:t>
            </w:r>
          </w:p>
        </w:tc>
        <w:tc>
          <w:tcPr/>
          <w:p>
            <w:pPr>
              <w:pStyle w:val="Compact"/>
            </w:pPr>
            <w:r>
              <w:t xml:space="preserve">encryption at rest + strict authorization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Highly Restricted</w:t>
            </w:r>
          </w:p>
        </w:tc>
        <w:tc>
          <w:tcPr/>
          <w:p>
            <w:pPr>
              <w:pStyle w:val="Compact"/>
            </w:pPr>
            <w:r>
              <w:t xml:space="preserve">PEP, Sanctions, Case, Evidence, Decision, Audit, SAR</w:t>
            </w:r>
          </w:p>
        </w:tc>
        <w:tc>
          <w:tcPr/>
          <w:p>
            <w:pPr>
              <w:pStyle w:val="Compact"/>
            </w:pPr>
            <w:r>
              <w:t xml:space="preserve">strongest authorization + encryption + immutable audit</w:t>
            </w:r>
          </w:p>
        </w:tc>
      </w:tr>
    </w:tbl>
    <w:p>
      <w:pPr>
        <w:pStyle w:val="Heading2"/>
      </w:pPr>
      <w:bookmarkStart w:id="17" w:name="_344cf023d6ca7bb6f5eaef0b66624ed87e0567b"/>
      <w:r>
        <w:t xml:space="preserve">Key management principles</w:t>
      </w:r>
    </w:p>
    <w:p>
      <w:pPr>
        <w:pStyle w:val="Compact"/>
        <w:numPr>
          <w:ilvl w:val="0"/>
          <w:numId w:val="1005"/>
        </w:numPr>
      </w:pPr>
      <w:r>
        <w:t xml:space="preserve">Application code must not contain long-lived cryptographic keys.</w:t>
      </w:r>
    </w:p>
    <w:p>
      <w:pPr>
        <w:pStyle w:val="Compact"/>
        <w:numPr>
          <w:ilvl w:val="0"/>
          <w:numId w:val="1005"/>
        </w:numPr>
      </w:pPr>
      <w:r>
        <w:t xml:space="preserve">Secrets are not committed to source control.</w:t>
      </w:r>
    </w:p>
    <w:p>
      <w:pPr>
        <w:pStyle w:val="Compact"/>
        <w:numPr>
          <w:ilvl w:val="0"/>
          <w:numId w:val="1005"/>
        </w:numPr>
      </w:pPr>
      <w:r>
        <w:t xml:space="preserve">Key material and encrypted data must have separated administrative privileges.</w:t>
      </w:r>
    </w:p>
    <w:p>
      <w:pPr>
        <w:pStyle w:val="Compact"/>
        <w:numPr>
          <w:ilvl w:val="0"/>
          <w:numId w:val="1005"/>
        </w:numPr>
      </w:pPr>
      <w:r>
        <w:t xml:space="preserve">Rotation must be designed before production encryption is enabled.</w:t>
      </w:r>
    </w:p>
    <w:p>
      <w:pPr>
        <w:pStyle w:val="Compact"/>
        <w:numPr>
          <w:ilvl w:val="0"/>
          <w:numId w:val="1005"/>
        </w:numPr>
      </w:pPr>
      <w:r>
        <w:t xml:space="preserve">Loss of a key must not silently destroy required regulatory evidence; recovery procedures are mandatory.</w:t>
      </w:r>
    </w:p>
    <w:p>
      <w:pPr>
        <w:pStyle w:val="Compact"/>
        <w:numPr>
          <w:ilvl w:val="0"/>
          <w:numId w:val="1005"/>
        </w:numPr>
      </w:pPr>
      <w:r>
        <w:t xml:space="preserve">Cryptographic controls must be observable and auditable.</w:t>
      </w:r>
    </w:p>
    <w:p>
      <w:pPr>
        <w:pStyle w:val="Heading2"/>
      </w:pPr>
      <w:bookmarkStart w:id="18" w:name="_5e919d96e79cbdb3dc6c023c4baedd35f30c8cb"/>
      <w:r>
        <w:t xml:space="preserve">SaaS requirements</w:t>
      </w:r>
    </w:p>
    <w:p>
      <w:pPr>
        <w:pStyle w:val="FirstParagraph"/>
      </w:pPr>
      <w:r>
        <w:t xml:space="preserve">Tenant isolation is an authorization and data-boundary requirement before it is a cryptographic requirement. Shared infrastructure must not create implicit cross-tenant access.</w:t>
      </w:r>
    </w:p>
    <w:p>
      <w:pPr>
        <w:pStyle w:val="BodyText"/>
      </w:pPr>
      <w:r>
        <w:t xml:space="preserve">For enterprise tenants requiring stronger isolation, the architecture must permit dedicated data stores, dedicated cryptographic keys, and eventually customer-managed keys without changing business-domain ownership.</w:t>
      </w:r>
    </w:p>
    <w:p>
      <w:pPr>
        <w:pStyle w:val="Heading2"/>
      </w:pPr>
      <w:bookmarkStart w:id="19" w:name="_ea9ab2965d6549147454b4908de80ff4bc555c2"/>
      <w:r>
        <w:t xml:space="preserve">AI boundary</w:t>
      </w:r>
    </w:p>
    <w:p>
      <w:pPr>
        <w:pStyle w:val="FirstParagraph"/>
      </w:pPr>
      <w:r>
        <w:t xml:space="preserve">AI/ML may generate risk signals, prioritization, anomaly indicators, or explanations. It cannot bypass authorization, alter audit history, or exercise independent regulatory decision authority.</w:t>
      </w:r>
    </w:p>
    <w:p>
      <w:pPr>
        <w:pStyle w:val="Heading2"/>
      </w:pPr>
      <w:bookmarkStart w:id="20" w:name="_cdd6226617c0a3d90a8c617747de5203dee48c8"/>
      <w:r>
        <w:t xml:space="preserve">Acceptance gate</w:t>
      </w:r>
    </w:p>
    <w:p>
      <w:pPr>
        <w:pStyle w:val="FirstParagraph"/>
      </w:pPr>
      <w:r>
        <w:t xml:space="preserve">A security control is production-ready only when it has:</w:t>
      </w:r>
    </w:p>
    <w:p>
      <w:pPr>
        <w:pStyle w:val="Compact"/>
        <w:numPr>
          <w:ilvl w:val="0"/>
          <w:numId w:val="1006"/>
        </w:numPr>
      </w:pPr>
      <w:r>
        <w:t xml:space="preserve">an explicit owner;</w:t>
      </w:r>
    </w:p>
    <w:p>
      <w:pPr>
        <w:pStyle w:val="Compact"/>
        <w:numPr>
          <w:ilvl w:val="0"/>
          <w:numId w:val="1006"/>
        </w:numPr>
      </w:pPr>
      <w:r>
        <w:t xml:space="preserve">threat model or risk rationale;</w:t>
      </w:r>
    </w:p>
    <w:p>
      <w:pPr>
        <w:pStyle w:val="Compact"/>
        <w:numPr>
          <w:ilvl w:val="0"/>
          <w:numId w:val="1006"/>
        </w:numPr>
      </w:pPr>
      <w:r>
        <w:t xml:space="preserve">failure mode defined;</w:t>
      </w:r>
    </w:p>
    <w:p>
      <w:pPr>
        <w:pStyle w:val="Compact"/>
        <w:numPr>
          <w:ilvl w:val="0"/>
          <w:numId w:val="1006"/>
        </w:numPr>
      </w:pPr>
      <w:r>
        <w:t xml:space="preserve">operational recovery procedure;</w:t>
      </w:r>
    </w:p>
    <w:p>
      <w:pPr>
        <w:pStyle w:val="Compact"/>
        <w:numPr>
          <w:ilvl w:val="0"/>
          <w:numId w:val="1006"/>
        </w:numPr>
      </w:pPr>
      <w:r>
        <w:t xml:space="preserve">audit evidence;</w:t>
      </w:r>
    </w:p>
    <w:p>
      <w:pPr>
        <w:pStyle w:val="Compact"/>
        <w:numPr>
          <w:ilvl w:val="0"/>
          <w:numId w:val="1006"/>
        </w:numPr>
      </w:pPr>
      <w:r>
        <w:t xml:space="preserve">automated tests where practical;</w:t>
      </w:r>
    </w:p>
    <w:p>
      <w:pPr>
        <w:pStyle w:val="Compact"/>
        <w:numPr>
          <w:ilvl w:val="0"/>
          <w:numId w:val="1006"/>
        </w:numPr>
      </w:pPr>
      <w:r>
        <w:t xml:space="preserve">documented key/secret lifecycle;</w:t>
      </w:r>
    </w:p>
    <w:p>
      <w:pPr>
        <w:pStyle w:val="Compact"/>
        <w:numPr>
          <w:ilvl w:val="0"/>
          <w:numId w:val="1006"/>
        </w:numPr>
      </w:pPr>
      <w:r>
        <w:t xml:space="preserve">CI validation where enforceable.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Security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SECURITY ENCRYPTION ROADMAP</dc:title>
  <dc:creator>HISN Platform</dc:creator>
  <cp:keywords>HISN, FCDOS, financial crime, decision operating system</cp:keywords>
  <dcterms:created xsi:type="dcterms:W3CDTF">2026-10-13T12:57:00Z</dcterms:created>
  <dcterms:modified xsi:type="dcterms:W3CDTF">2026-10-13T12:57:00Z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