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468405616f9987d34c24151f8fdc3778734cd92"/>
      <w:r>
        <w:t xml:space="preserve">HISN Tenant Isolation Assurance Framework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2026-09-07</w:t>
      </w:r>
      <w:r>
        <w:br/>
      </w:r>
      <w:r>
        <w:rPr>
          <w:b/>
          <w:bCs/>
        </w:rPr>
        <w:t xml:space="preserve">Control:</w:t>
      </w:r>
      <w:r>
        <w:t xml:space="preserve"> </w:t>
      </w:r>
      <w:r>
        <w:t xml:space="preserve">TIA — Tenant Isolation Assurance</w:t>
      </w:r>
      <w:r>
        <w:br/>
      </w:r>
      <w:r>
        <w:rPr>
          <w:b/>
          <w:bCs/>
        </w:rPr>
        <w:t xml:space="preserve">Classification:</w:t>
      </w:r>
      <w:r>
        <w:t xml:space="preserve"> </w:t>
      </w:r>
      <w:r>
        <w:t xml:space="preserve">Critical / Release Blocking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Automated control model + live PostgreSQL proof under execution</w:t>
      </w:r>
    </w:p>
    <w:p>
      <w:pPr>
        <w:pStyle w:val="Heading2"/>
      </w:pPr>
      <w:bookmarkStart w:id="10" w:name="_14e557c695698b4123f14d97e0c215022543661"/>
      <w:r>
        <w:t xml:space="preserve">1. Control Objective</w:t>
      </w:r>
    </w:p>
    <w:p>
      <w:pPr>
        <w:pStyle w:val="FirstParagraph"/>
      </w:pPr>
      <w:r>
        <w:t xml:space="preserve">Prove that a tenant-scoped HISN deployment cannot disclose, mutate, replay, or otherwise authorize artifacts belonging to another tenant, including under concurrency, retries, asynchronous processing, and dependency failure.</w:t>
      </w:r>
    </w:p>
    <w:p>
      <w:pPr>
        <w:pStyle w:val="Heading2"/>
      </w:pPr>
      <w:bookmarkStart w:id="11" w:name="_10e610a82c205637b9f81b55d04faa59f5fddfa"/>
      <w:r>
        <w:t xml:space="preserve">2. Canonical Invariant</w:t>
      </w:r>
    </w:p>
    <w:p>
      <w:pPr>
        <w:pStyle w:val="FirstParagraph"/>
      </w:pPr>
      <w:r>
        <w:t xml:space="preserve">For any authenticated principal operating under tenant</w:t>
      </w:r>
      <w:r>
        <w:t xml:space="preserve"> </w:t>
      </w:r>
      <w:r>
        <w:rPr>
          <w:rStyle w:val="VerbatimChar"/>
        </w:rPr>
        <w:t xml:space="preserve">T1</w:t>
      </w:r>
      <w:r>
        <w:t xml:space="preserve">, access to an object owned by</w:t>
      </w:r>
      <w:r>
        <w:t xml:space="preserve"> </w:t>
      </w:r>
      <w:r>
        <w:rPr>
          <w:rStyle w:val="VerbatimChar"/>
        </w:rPr>
        <w:t xml:space="preserve">T2</w:t>
      </w:r>
      <w:r>
        <w:t xml:space="preserve"> </w:t>
      </w:r>
      <w:r>
        <w:t xml:space="preserve">must result in:</w:t>
      </w:r>
    </w:p>
    <w:p>
      <w:pPr>
        <w:pStyle w:val="Compact"/>
        <w:numPr>
          <w:ilvl w:val="0"/>
          <w:numId w:val="1001"/>
        </w:numPr>
      </w:pPr>
      <w:r>
        <w:t xml:space="preserve">READ: DENY</w:t>
      </w:r>
    </w:p>
    <w:p>
      <w:pPr>
        <w:pStyle w:val="Compact"/>
        <w:numPr>
          <w:ilvl w:val="0"/>
          <w:numId w:val="1001"/>
        </w:numPr>
      </w:pPr>
      <w:r>
        <w:t xml:space="preserve">WRITE: DENY</w:t>
      </w:r>
    </w:p>
    <w:p>
      <w:pPr>
        <w:pStyle w:val="Compact"/>
        <w:numPr>
          <w:ilvl w:val="0"/>
          <w:numId w:val="1001"/>
        </w:numPr>
      </w:pPr>
      <w:r>
        <w:t xml:space="preserve">DELETE: DENY</w:t>
      </w:r>
    </w:p>
    <w:p>
      <w:pPr>
        <w:pStyle w:val="Compact"/>
        <w:numPr>
          <w:ilvl w:val="0"/>
          <w:numId w:val="1001"/>
        </w:numPr>
      </w:pPr>
      <w:r>
        <w:t xml:space="preserve">REPLAY: DENY</w:t>
      </w:r>
    </w:p>
    <w:p>
      <w:pPr>
        <w:pStyle w:val="Compact"/>
        <w:numPr>
          <w:ilvl w:val="0"/>
          <w:numId w:val="1001"/>
        </w:numPr>
      </w:pPr>
      <w:r>
        <w:t xml:space="preserve">EVIDENCE: DENY</w:t>
      </w:r>
    </w:p>
    <w:p>
      <w:pPr>
        <w:pStyle w:val="Compact"/>
        <w:numPr>
          <w:ilvl w:val="0"/>
          <w:numId w:val="1001"/>
        </w:numPr>
      </w:pPr>
      <w:r>
        <w:t xml:space="preserve">DECISION: DENY</w:t>
      </w:r>
    </w:p>
    <w:p>
      <w:pPr>
        <w:pStyle w:val="Compact"/>
        <w:numPr>
          <w:ilvl w:val="0"/>
          <w:numId w:val="1001"/>
        </w:numPr>
      </w:pPr>
      <w:r>
        <w:t xml:space="preserve">DECISION DNA: DENY</w:t>
      </w:r>
    </w:p>
    <w:p>
      <w:pPr>
        <w:pStyle w:val="Compact"/>
        <w:numPr>
          <w:ilvl w:val="0"/>
          <w:numId w:val="1001"/>
        </w:numPr>
      </w:pPr>
      <w:r>
        <w:t xml:space="preserve">GRAPH: TENANT-BOUND</w:t>
      </w:r>
    </w:p>
    <w:p>
      <w:pPr>
        <w:pStyle w:val="Compact"/>
        <w:numPr>
          <w:ilvl w:val="0"/>
          <w:numId w:val="1001"/>
        </w:numPr>
      </w:pPr>
      <w:r>
        <w:t xml:space="preserve">AUDIT: TENANT-BOUND</w:t>
      </w:r>
    </w:p>
    <w:p>
      <w:pPr>
        <w:pStyle w:val="FirstParagraph"/>
      </w:pPr>
      <w:r>
        <w:t xml:space="preserve">A passing percentage is not sufficient to close a Critical control. Any critical cross-tenant breach blocks the release.</w:t>
      </w:r>
    </w:p>
    <w:p>
      <w:pPr>
        <w:pStyle w:val="Heading2"/>
      </w:pPr>
      <w:bookmarkStart w:id="12" w:name="_11833659ba03b049425267e0a63ac3497fa2775"/>
      <w:r>
        <w:t xml:space="preserve">3. Five-State Control Model</w:t>
      </w:r>
    </w:p>
    <w:p>
      <w:pPr>
        <w:pStyle w:val="FirstParagraph"/>
      </w:pPr>
      <w:r>
        <w:t xml:space="preserve">Every tenant-isolation surface is classified using exactly one of these states: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COVERED</w:t>
      </w:r>
      <w:r>
        <w:t xml:space="preserve"> </w:t>
      </w:r>
      <w:r>
        <w:t xml:space="preserve">— objective evidence proves the control at the required boundary.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PARTIAL</w:t>
      </w:r>
      <w:r>
        <w:t xml:space="preserve"> </w:t>
      </w:r>
      <w:r>
        <w:t xml:space="preserve">— some control evidence exists, but the acceptance boundary is incomplete.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UNPROTECTED</w:t>
      </w:r>
      <w:r>
        <w:t xml:space="preserve"> </w:t>
      </w:r>
      <w:r>
        <w:t xml:space="preserve">— the surface has no effective tenant boundary.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UNKNOWN</w:t>
      </w:r>
      <w:r>
        <w:t xml:space="preserve"> </w:t>
      </w:r>
      <w:r>
        <w:t xml:space="preserve">— implementation/evidence is insufficient to classify the control safely.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NOT_APPLICABLE</w:t>
      </w:r>
      <w:r>
        <w:t xml:space="preserve"> </w:t>
      </w:r>
      <w:r>
        <w:t xml:space="preserve">— the control is formally outside the release scope with an explicit governance rationale.</w:t>
      </w:r>
    </w:p>
    <w:p>
      <w:pPr>
        <w:pStyle w:val="Heading2"/>
      </w:pPr>
      <w:bookmarkStart w:id="13" w:name="_1d9fb638c7b0a9ab7d7e3e766b81c3d4b2e8516"/>
      <w:r>
        <w:t xml:space="preserve">4. Isolation Surface Inventory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Current evidence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 tenant context</w:t>
            </w:r>
          </w:p>
        </w:tc>
        <w:tc>
          <w:tcPr/>
          <w:p>
            <w:pPr>
              <w:pStyle w:val="Compact"/>
            </w:pPr>
            <w:r>
              <w:t xml:space="preserve">transaction-local</w:t>
            </w:r>
            <w:r>
              <w:t xml:space="preserve"> </w:t>
            </w:r>
            <w:r>
              <w:rPr>
                <w:rStyle w:val="VerbatimChar"/>
              </w:rPr>
              <w:t xml:space="preserve">ContextVar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tests/test_tenant_isolation_acceptance.py</w:t>
            </w:r>
          </w:p>
        </w:tc>
        <w:tc>
          <w:tcPr/>
          <w:p>
            <w:pPr>
              <w:pStyle w:val="Compact"/>
            </w:pPr>
            <w:r>
              <w:t xml:space="preserve">COVERED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DB cursor boundary</w:t>
            </w:r>
          </w:p>
        </w:tc>
        <w:tc>
          <w:tcPr/>
          <w:p>
            <w:pPr>
              <w:pStyle w:val="Compact"/>
            </w:pPr>
            <w:r>
              <w:t xml:space="preserve">canonical</w:t>
            </w:r>
            <w:r>
              <w:t xml:space="preserve"> </w:t>
            </w:r>
            <w:r>
              <w:rPr>
                <w:rStyle w:val="VerbatimChar"/>
              </w:rPr>
              <w:t xml:space="preserve">Database.cursor/raw_cursor</w:t>
            </w:r>
            <w:r>
              <w:t xml:space="preserve"> </w:t>
            </w:r>
            <w:r>
              <w:t xml:space="preserve">establishes</w:t>
            </w:r>
            <w:r>
              <w:t xml:space="preserve"> </w:t>
            </w:r>
            <w:r>
              <w:rPr>
                <w:rStyle w:val="VerbatimChar"/>
              </w:rPr>
              <w:t xml:space="preserve">hisn.set_tenant()</w:t>
            </w:r>
          </w:p>
        </w:tc>
        <w:tc>
          <w:tcPr/>
          <w:p>
            <w:pPr>
              <w:pStyle w:val="Compact"/>
            </w:pPr>
            <w:r>
              <w:t xml:space="preserve">source + tests</w:t>
            </w:r>
          </w:p>
        </w:tc>
        <w:tc>
          <w:tcPr/>
          <w:p>
            <w:pPr>
              <w:pStyle w:val="Compact"/>
            </w:pPr>
            <w:r>
              <w:t xml:space="preserve">COVERED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PostgreSQL RLS</w:t>
            </w:r>
          </w:p>
        </w:tc>
        <w:tc>
          <w:tcPr/>
          <w:p>
            <w:pPr>
              <w:pStyle w:val="Compact"/>
            </w:pPr>
            <w:r>
              <w:t xml:space="preserve">ENABLE + FORCE + tenant policy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018_tenant_rls_enforcement.sql</w:t>
            </w:r>
            <w:r>
              <w:t xml:space="preserve"> </w:t>
            </w:r>
            <w:r>
              <w:t xml:space="preserve">+ live suite</w:t>
            </w:r>
          </w:p>
        </w:tc>
        <w:tc>
          <w:tcPr/>
          <w:p>
            <w:pPr>
              <w:pStyle w:val="Compact"/>
            </w:pPr>
            <w:r>
              <w:t xml:space="preserve">COVERED pending current-RC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Transaction ownership</w:t>
            </w:r>
          </w:p>
        </w:tc>
        <w:tc>
          <w:tcPr/>
          <w:p>
            <w:pPr>
              <w:pStyle w:val="Compact"/>
            </w:pPr>
            <w:r>
              <w:t xml:space="preserve">NOT NULL tenant + FK + tenant default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207_transaction_tenant_boundary.sql</w:t>
            </w:r>
          </w:p>
        </w:tc>
        <w:tc>
          <w:tcPr/>
          <w:p>
            <w:pPr>
              <w:pStyle w:val="Compact"/>
            </w:pPr>
            <w:r>
              <w:t xml:space="preserve">COVERED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 object isolation</w:t>
            </w:r>
          </w:p>
        </w:tc>
        <w:tc>
          <w:tcPr/>
          <w:p>
            <w:pPr>
              <w:pStyle w:val="Compact"/>
            </w:pPr>
            <w:r>
              <w:t xml:space="preserve">endpoint-by-endpoint adversarial tests</w:t>
            </w:r>
          </w:p>
        </w:tc>
        <w:tc>
          <w:tcPr/>
          <w:p>
            <w:pPr>
              <w:pStyle w:val="Compact"/>
            </w:pPr>
            <w:r>
              <w:t xml:space="preserve">current test inventory + runtime tests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isolation</w:t>
            </w:r>
          </w:p>
        </w:tc>
        <w:tc>
          <w:tcPr/>
          <w:p>
            <w:pPr>
              <w:pStyle w:val="Compact"/>
            </w:pPr>
            <w:r>
              <w:t xml:space="preserve">persisted evidence E2E</w:t>
            </w:r>
          </w:p>
        </w:tc>
        <w:tc>
          <w:tcPr/>
          <w:p>
            <w:pPr>
              <w:pStyle w:val="Compact"/>
            </w:pPr>
            <w:r>
              <w:t xml:space="preserve">tenant-bound schema + acceptance inventory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DNA isolation</w:t>
            </w:r>
          </w:p>
        </w:tc>
        <w:tc>
          <w:tcPr/>
          <w:p>
            <w:pPr>
              <w:pStyle w:val="Compact"/>
            </w:pPr>
            <w:r>
              <w:t xml:space="preserve">persisted DNA E2E</w:t>
            </w:r>
          </w:p>
        </w:tc>
        <w:tc>
          <w:tcPr/>
          <w:p>
            <w:pPr>
              <w:pStyle w:val="Compact"/>
            </w:pPr>
            <w:r>
              <w:t xml:space="preserve">tenant-bound schema + acceptance inventory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isolation</w:t>
            </w:r>
          </w:p>
        </w:tc>
        <w:tc>
          <w:tcPr/>
          <w:p>
            <w:pPr>
              <w:pStyle w:val="Compact"/>
            </w:pPr>
            <w:r>
              <w:t xml:space="preserve">persisted audit E2E</w:t>
            </w:r>
          </w:p>
        </w:tc>
        <w:tc>
          <w:tcPr/>
          <w:p>
            <w:pPr>
              <w:pStyle w:val="Compact"/>
            </w:pPr>
            <w:r>
              <w:t xml:space="preserve">tenant-bound schema + audit tests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isolation</w:t>
            </w:r>
          </w:p>
        </w:tc>
        <w:tc>
          <w:tcPr/>
          <w:p>
            <w:pPr>
              <w:pStyle w:val="Compact"/>
            </w:pPr>
            <w:r>
              <w:t xml:space="preserve">repository/query E2E</w:t>
            </w:r>
          </w:p>
        </w:tc>
        <w:tc>
          <w:tcPr/>
          <w:p>
            <w:pPr>
              <w:pStyle w:val="Compact"/>
            </w:pPr>
            <w:r>
              <w:t xml:space="preserve">tenant-bound data access contract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Replay/idempotency isolation</w:t>
            </w:r>
          </w:p>
        </w:tc>
        <w:tc>
          <w:tcPr/>
          <w:p>
            <w:pPr>
              <w:pStyle w:val="Compact"/>
            </w:pPr>
            <w:r>
              <w:t xml:space="preserve">adversarial E2E</w:t>
            </w:r>
          </w:p>
        </w:tc>
        <w:tc>
          <w:tcPr/>
          <w:p>
            <w:pPr>
              <w:pStyle w:val="Compact"/>
            </w:pPr>
            <w:r>
              <w:t xml:space="preserve">canonical idempotency tenant context tests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Async/event worker propagation</w:t>
            </w:r>
          </w:p>
        </w:tc>
        <w:tc>
          <w:tcPr/>
          <w:p>
            <w:pPr>
              <w:pStyle w:val="Compact"/>
            </w:pPr>
            <w:r>
              <w:t xml:space="preserve">queue/worker implementation inventory</w:t>
            </w:r>
          </w:p>
        </w:tc>
        <w:tc>
          <w:tcPr/>
          <w:p>
            <w:pPr>
              <w:pStyle w:val="Compact"/>
            </w:pPr>
            <w:r>
              <w:t xml:space="preserve">no production async worker authority established</w:t>
            </w:r>
          </w:p>
        </w:tc>
        <w:tc>
          <w:tcPr/>
          <w:p>
            <w:pPr>
              <w:pStyle w:val="Compact"/>
            </w:pPr>
            <w:r>
              <w:t xml:space="preserve">NOT_APPLICABLE for current modular-monolith release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Cache isolation</w:t>
            </w:r>
          </w:p>
        </w:tc>
        <w:tc>
          <w:tcPr/>
          <w:p>
            <w:pPr>
              <w:pStyle w:val="Compact"/>
            </w:pPr>
            <w:r>
              <w:t xml:space="preserve">cache implementation inventory</w:t>
            </w:r>
          </w:p>
        </w:tc>
        <w:tc>
          <w:tcPr/>
          <w:p>
            <w:pPr>
              <w:pStyle w:val="Compact"/>
            </w:pPr>
            <w:r>
              <w:t xml:space="preserve">no cache authority established for decision artifacts</w:t>
            </w:r>
          </w:p>
        </w:tc>
        <w:tc>
          <w:tcPr/>
          <w:p>
            <w:pPr>
              <w:pStyle w:val="Compact"/>
            </w:pPr>
            <w:r>
              <w:t xml:space="preserve">NOT_APPLICABLE for current release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Concurrent context bleed</w:t>
            </w:r>
          </w:p>
        </w:tc>
        <w:tc>
          <w:tcPr/>
          <w:p>
            <w:pPr>
              <w:pStyle w:val="Compact"/>
            </w:pPr>
            <w:r>
              <w:t xml:space="preserve">application-level context test</w:t>
            </w:r>
          </w:p>
        </w:tc>
        <w:tc>
          <w:tcPr/>
          <w:p>
            <w:pPr>
              <w:pStyle w:val="Compact"/>
            </w:pPr>
            <w:r>
              <w:t xml:space="preserve">unit proof + live DB concurrency suite</w:t>
            </w:r>
          </w:p>
        </w:tc>
        <w:tc>
          <w:tcPr/>
          <w:p>
            <w:pPr>
              <w:pStyle w:val="Compact"/>
            </w:pPr>
            <w:r>
              <w:t xml:space="preserve">PARTIAL pending current-RC result</w:t>
            </w:r>
          </w:p>
        </w:tc>
      </w:tr>
    </w:tbl>
    <w:p>
      <w:pPr>
        <w:pStyle w:val="Heading2"/>
      </w:pPr>
      <w:bookmarkStart w:id="14" w:name="_10c53b3d02d63dacdf9f2c4471253d37c32fe3f"/>
      <w:r>
        <w:t xml:space="preserve">5. Adversarial Acceptance Matrix</w:t>
      </w:r>
    </w:p>
    <w:p>
      <w:pPr>
        <w:pStyle w:val="FirstParagraph"/>
      </w:pPr>
      <w:r>
        <w:t xml:space="preserve">The live acceptance suite must prove at minimum: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Cross-Tenant Read</w:t>
      </w:r>
      <w:r>
        <w:t xml:space="preserve"> </w:t>
      </w:r>
      <w:r>
        <w:t xml:space="preserve">— T1 cannot read T2 transaction, decision, evidence, case or audit artifacts.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Cross-Tenant Write</w:t>
      </w:r>
      <w:r>
        <w:t xml:space="preserve"> </w:t>
      </w:r>
      <w:r>
        <w:t xml:space="preserve">— T1 cannot update or delete T2 artifacts and cannot forge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on insert.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Cross-Tenant Evidence</w:t>
      </w:r>
      <w:r>
        <w:t xml:space="preserve"> </w:t>
      </w:r>
      <w:r>
        <w:t xml:space="preserve">— evidence retrieval remains tenant-bound.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Cross-Tenant DNA</w:t>
      </w:r>
      <w:r>
        <w:t xml:space="preserve"> </w:t>
      </w:r>
      <w:r>
        <w:t xml:space="preserve">— Decision DNA retrieval remains tenant-bound.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Cross-Tenant Replay</w:t>
      </w:r>
      <w:r>
        <w:t xml:space="preserve"> </w:t>
      </w:r>
      <w:r>
        <w:t xml:space="preserve">— a T2 decision/request cannot be replayed under T1.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Cross-Tenant Graph</w:t>
      </w:r>
      <w:r>
        <w:t xml:space="preserve"> </w:t>
      </w:r>
      <w:r>
        <w:t xml:space="preserve">— graph traversal cannot cross tenant ownership boundaries.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Missing Context</w:t>
      </w:r>
      <w:r>
        <w:t xml:space="preserve"> </w:t>
      </w:r>
      <w:r>
        <w:t xml:space="preserve">— no tenant context cannot broaden access or create tenant-owned artifacts.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Concurrency</w:t>
      </w:r>
      <w:r>
        <w:t xml:space="preserve"> </w:t>
      </w:r>
      <w:r>
        <w:t xml:space="preserve">— transaction-local tenant state cannot bleed between simultaneous connections/tasks.</w:t>
      </w:r>
    </w:p>
    <w:p>
      <w:pPr>
        <w:pStyle w:val="Heading2"/>
      </w:pPr>
      <w:bookmarkStart w:id="15" w:name="_9c2f4b6204d77528e6f683b392904ff3119ec0b"/>
      <w:r>
        <w:t xml:space="preserve">6. Threat Classes</w:t>
      </w:r>
    </w:p>
    <w:p>
      <w:pPr>
        <w:pStyle w:val="FirstParagraph"/>
      </w:pPr>
      <w:r>
        <w:t xml:space="preserve">TIA must explicitly cover:</w:t>
      </w:r>
    </w:p>
    <w:p>
      <w:pPr>
        <w:pStyle w:val="Compact"/>
        <w:numPr>
          <w:ilvl w:val="0"/>
          <w:numId w:val="1004"/>
        </w:numPr>
      </w:pPr>
      <w:r>
        <w:t xml:space="preserve">Horizontal privilege escalation / IDOR.</w:t>
      </w:r>
    </w:p>
    <w:p>
      <w:pPr>
        <w:pStyle w:val="Compact"/>
        <w:numPr>
          <w:ilvl w:val="0"/>
          <w:numId w:val="1004"/>
        </w:numPr>
      </w:pPr>
      <w:r>
        <w:t xml:space="preserve">Forged or manipulated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Missing tenant context.</w:t>
      </w:r>
    </w:p>
    <w:p>
      <w:pPr>
        <w:pStyle w:val="Compact"/>
        <w:numPr>
          <w:ilvl w:val="0"/>
          <w:numId w:val="1004"/>
        </w:numPr>
      </w:pPr>
      <w:r>
        <w:t xml:space="preserve">Context bleed across concurrent requests/tasks.</w:t>
      </w:r>
    </w:p>
    <w:p>
      <w:pPr>
        <w:pStyle w:val="Compact"/>
        <w:numPr>
          <w:ilvl w:val="0"/>
          <w:numId w:val="1004"/>
        </w:numPr>
      </w:pPr>
      <w:r>
        <w:t xml:space="preserve">DB connection/session reuse.</w:t>
      </w:r>
    </w:p>
    <w:p>
      <w:pPr>
        <w:pStyle w:val="Compact"/>
        <w:numPr>
          <w:ilvl w:val="0"/>
          <w:numId w:val="1004"/>
        </w:numPr>
      </w:pPr>
      <w:r>
        <w:t xml:space="preserve">Event replay under the wrong tenant.</w:t>
      </w:r>
    </w:p>
    <w:p>
      <w:pPr>
        <w:pStyle w:val="Compact"/>
        <w:numPr>
          <w:ilvl w:val="0"/>
          <w:numId w:val="1004"/>
        </w:numPr>
      </w:pPr>
      <w:r>
        <w:t xml:space="preserve">Async worker context loss.</w:t>
      </w:r>
    </w:p>
    <w:p>
      <w:pPr>
        <w:pStyle w:val="Compact"/>
        <w:numPr>
          <w:ilvl w:val="0"/>
          <w:numId w:val="1004"/>
        </w:numPr>
      </w:pPr>
      <w:r>
        <w:t xml:space="preserve">Cache key collision / cache poisoning.</w:t>
      </w:r>
    </w:p>
    <w:p>
      <w:pPr>
        <w:pStyle w:val="Compact"/>
        <w:numPr>
          <w:ilvl w:val="0"/>
          <w:numId w:val="1004"/>
        </w:numPr>
      </w:pPr>
      <w:r>
        <w:t xml:space="preserve">Cross-tenant graph traversal.</w:t>
      </w:r>
    </w:p>
    <w:p>
      <w:pPr>
        <w:pStyle w:val="Compact"/>
        <w:numPr>
          <w:ilvl w:val="0"/>
          <w:numId w:val="1004"/>
        </w:numPr>
      </w:pPr>
      <w:r>
        <w:t xml:space="preserve">Cross-tenant evidence, DNA, and audit retrieval.</w:t>
      </w:r>
    </w:p>
    <w:p>
      <w:pPr>
        <w:pStyle w:val="Compact"/>
        <w:numPr>
          <w:ilvl w:val="0"/>
          <w:numId w:val="1004"/>
        </w:numPr>
      </w:pPr>
      <w:r>
        <w:t xml:space="preserve">Retry/timeout/rollback boundary failures.</w:t>
      </w:r>
    </w:p>
    <w:p>
      <w:pPr>
        <w:pStyle w:val="Compact"/>
        <w:numPr>
          <w:ilvl w:val="0"/>
          <w:numId w:val="1004"/>
        </w:numPr>
      </w:pPr>
      <w:r>
        <w:t xml:space="preserve">Duplicate and idempotent request isolation.</w:t>
      </w:r>
    </w:p>
    <w:p>
      <w:pPr>
        <w:pStyle w:val="Heading2"/>
      </w:pPr>
      <w:bookmarkStart w:id="16" w:name="_43ae25ad866943f3421a907c8e42f2b94a8dc8d"/>
      <w:r>
        <w:t xml:space="preserve">7. Release Gate</w:t>
      </w:r>
    </w:p>
    <w:p>
      <w:pPr>
        <w:pStyle w:val="FirstParagraph"/>
      </w:pPr>
      <w:r>
        <w:rPr>
          <w:rStyle w:val="VerbatimChar"/>
        </w:rPr>
        <w:t xml:space="preserve">TIA = GREEN</w:t>
      </w:r>
      <w:r>
        <w:t xml:space="preserve"> </w:t>
      </w:r>
      <w:r>
        <w:t xml:space="preserve">only when all Critical controls are proven in automated acceptance evidence.</w:t>
      </w:r>
    </w:p>
    <w:p>
      <w:pPr>
        <w:pStyle w:val="BodyText"/>
      </w:pPr>
      <w:r>
        <w:t xml:space="preserve">Required outcome:</w:t>
      </w:r>
    </w:p>
    <w:p>
      <w:pPr>
        <w:pStyle w:val="SourceCode"/>
      </w:pPr>
      <w:r>
        <w:rPr>
          <w:rStyle w:val="VerbatimChar"/>
        </w:rPr>
        <w:t xml:space="preserve">Critical Controls = 100% PASS</w:t>
      </w:r>
      <w:r>
        <w:br/>
      </w:r>
      <w:r>
        <w:rPr>
          <w:rStyle w:val="VerbatimChar"/>
        </w:rPr>
        <w:t xml:space="preserve">AND</w:t>
      </w:r>
      <w:r>
        <w:br/>
      </w:r>
      <w:r>
        <w:rPr>
          <w:rStyle w:val="VerbatimChar"/>
        </w:rPr>
        <w:t xml:space="preserve">No cross-tenant breach</w:t>
      </w:r>
      <w:r>
        <w:br/>
      </w:r>
      <w:r>
        <w:rPr>
          <w:rStyle w:val="VerbatimChar"/>
        </w:rPr>
        <w:t xml:space="preserve">AND</w:t>
      </w:r>
      <w:r>
        <w:br/>
      </w:r>
      <w:r>
        <w:rPr>
          <w:rStyle w:val="VerbatimChar"/>
        </w:rPr>
        <w:t xml:space="preserve">No context bleed</w:t>
      </w:r>
      <w:r>
        <w:br/>
      </w:r>
      <w:r>
        <w:rPr>
          <w:rStyle w:val="VerbatimChar"/>
        </w:rPr>
        <w:t xml:space="preserve">AND</w:t>
      </w:r>
      <w:r>
        <w:br/>
      </w:r>
      <w:r>
        <w:rPr>
          <w:rStyle w:val="VerbatimChar"/>
        </w:rPr>
        <w:t xml:space="preserve">Evidence artifact generated</w:t>
      </w:r>
      <w:r>
        <w:br/>
      </w:r>
      <w:r>
        <w:rPr>
          <w:rStyle w:val="VerbatimChar"/>
        </w:rPr>
        <w:t xml:space="preserve">=&gt; RELEASE ELIGIBLE</w:t>
      </w:r>
    </w:p>
    <w:p>
      <w:pPr>
        <w:pStyle w:val="FirstParagraph"/>
      </w:pPr>
      <w:r>
        <w:t xml:space="preserve">Any Critical failure:</w:t>
      </w:r>
    </w:p>
    <w:p>
      <w:pPr>
        <w:pStyle w:val="SourceCode"/>
      </w:pPr>
      <w:r>
        <w:rPr>
          <w:rStyle w:val="VerbatimChar"/>
        </w:rPr>
        <w:t xml:space="preserve">RELEASE = BLOCKED</w:t>
      </w:r>
    </w:p>
    <w:p>
      <w:pPr>
        <w:pStyle w:val="Heading2"/>
      </w:pPr>
      <w:bookmarkStart w:id="17" w:name="_abe27a334c99da502473822d8cd59ae8b2a8992"/>
      <w:r>
        <w:t xml:space="preserve">8. Evidence Standard</w:t>
      </w:r>
    </w:p>
    <w:p>
      <w:pPr>
        <w:pStyle w:val="FirstParagraph"/>
      </w:pPr>
      <w:r>
        <w:t xml:space="preserve">Every release candidate should retain:</w:t>
      </w:r>
    </w:p>
    <w:p>
      <w:pPr>
        <w:pStyle w:val="Compact"/>
        <w:numPr>
          <w:ilvl w:val="0"/>
          <w:numId w:val="1005"/>
        </w:numPr>
      </w:pPr>
      <w:r>
        <w:t xml:space="preserve">commit SHA</w:t>
      </w:r>
    </w:p>
    <w:p>
      <w:pPr>
        <w:pStyle w:val="Compact"/>
        <w:numPr>
          <w:ilvl w:val="0"/>
          <w:numId w:val="1005"/>
        </w:numPr>
      </w:pPr>
      <w:r>
        <w:t xml:space="preserve">test suite version</w:t>
      </w:r>
    </w:p>
    <w:p>
      <w:pPr>
        <w:pStyle w:val="Compact"/>
        <w:numPr>
          <w:ilvl w:val="0"/>
          <w:numId w:val="1005"/>
        </w:numPr>
      </w:pPr>
      <w:r>
        <w:t xml:space="preserve">control matrix</w:t>
      </w:r>
    </w:p>
    <w:p>
      <w:pPr>
        <w:pStyle w:val="Compact"/>
        <w:numPr>
          <w:ilvl w:val="0"/>
          <w:numId w:val="1005"/>
        </w:numPr>
      </w:pPr>
      <w:r>
        <w:t xml:space="preserve">executed test identifiers</w:t>
      </w:r>
    </w:p>
    <w:p>
      <w:pPr>
        <w:pStyle w:val="Compact"/>
        <w:numPr>
          <w:ilvl w:val="0"/>
          <w:numId w:val="1005"/>
        </w:numPr>
      </w:pPr>
      <w:r>
        <w:t xml:space="preserve">pass/fail results</w:t>
      </w:r>
    </w:p>
    <w:p>
      <w:pPr>
        <w:pStyle w:val="Compact"/>
        <w:numPr>
          <w:ilvl w:val="0"/>
          <w:numId w:val="1005"/>
        </w:numPr>
      </w:pPr>
      <w:r>
        <w:t xml:space="preserve">failure details</w:t>
      </w:r>
    </w:p>
    <w:p>
      <w:pPr>
        <w:pStyle w:val="Compact"/>
        <w:numPr>
          <w:ilvl w:val="0"/>
          <w:numId w:val="1005"/>
        </w:numPr>
      </w:pPr>
      <w:r>
        <w:t xml:space="preserve">environment/schema version</w:t>
      </w:r>
    </w:p>
    <w:p>
      <w:pPr>
        <w:pStyle w:val="Compact"/>
        <w:numPr>
          <w:ilvl w:val="0"/>
          <w:numId w:val="1005"/>
        </w:numPr>
      </w:pPr>
      <w:r>
        <w:t xml:space="preserve">exceptions, if any</w:t>
      </w:r>
    </w:p>
    <w:p>
      <w:pPr>
        <w:pStyle w:val="Compact"/>
        <w:numPr>
          <w:ilvl w:val="0"/>
          <w:numId w:val="1005"/>
        </w:numPr>
      </w:pPr>
      <w:r>
        <w:t xml:space="preserve">residual risk</w:t>
      </w:r>
    </w:p>
    <w:p>
      <w:pPr>
        <w:pStyle w:val="Compact"/>
        <w:numPr>
          <w:ilvl w:val="0"/>
          <w:numId w:val="1005"/>
        </w:numPr>
      </w:pPr>
      <w:r>
        <w:t xml:space="preserve">final gate decision</w:t>
      </w:r>
    </w:p>
    <w:p>
      <w:pPr>
        <w:pStyle w:val="FirstParagraph"/>
      </w:pPr>
      <w:r>
        <w:t xml:space="preserve">Permitted gate decisions:</w:t>
      </w:r>
    </w:p>
    <w:p>
      <w:pPr>
        <w:pStyle w:val="BodyText"/>
      </w:pPr>
      <w:r>
        <w:rPr>
          <w:rStyle w:val="VerbatimChar"/>
        </w:rPr>
        <w:t xml:space="preserve">PASS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PASS_WITH_FORMAL_EXCEPTION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BLOCKED</w:t>
      </w:r>
    </w:p>
    <w:p>
      <w:pPr>
        <w:pStyle w:val="Heading2"/>
      </w:pPr>
      <w:bookmarkStart w:id="18" w:name="_e9d03f000db8413a0df0b7ebef01d65cba11e81"/>
      <w:r>
        <w:t xml:space="preserve">9. Current Conclusion</w:t>
      </w:r>
    </w:p>
    <w:p>
      <w:pPr>
        <w:pStyle w:val="FirstParagraph"/>
      </w:pPr>
      <w:r>
        <w:t xml:space="preserve">Tenant ownership is now explicit on the canonical transaction and critical decision-artifact tables, with forced PostgreSQL RLS and fail-closed predicates. The live PostgreSQL adversarial suite uses a dedicated non-owner,</w:t>
      </w:r>
      <w:r>
        <w:t xml:space="preserve"> </w:t>
      </w:r>
      <w:r>
        <w:rPr>
          <w:rStyle w:val="VerbatimChar"/>
        </w:rPr>
        <w:t xml:space="preserve">NOBYPASSRLS</w:t>
      </w:r>
      <w:r>
        <w:t xml:space="preserve"> </w:t>
      </w:r>
      <w:r>
        <w:t xml:space="preserve">assurance identity so database ownership cannot silently invalidate the proof.</w:t>
      </w:r>
    </w:p>
    <w:p>
      <w:pPr>
        <w:pStyle w:val="BodyText"/>
      </w:pPr>
      <w:r>
        <w:t xml:space="preserve">This framework does not treat documentation as evidence. Bank Acceptance closure requires the current release candidate to pass the live database suite and then demonstrate API/object/replay/evidence/DNA/audit/graph isolation at the runtime boundary.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ISOLATION ASSURANCE FRAMEWORK 2026-09-07</dc:title>
  <dc:creator>HISN Platform</dc:creator>
  <cp:keywords>HISN, FCDOS, financial crime, decision operating system</cp:keywords>
  <dcterms:created xsi:type="dcterms:W3CDTF">2026-10-13T12:56:57Z</dcterms:created>
  <dcterms:modified xsi:type="dcterms:W3CDTF">2026-10-13T12:56:57Z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