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df728b045548ef9d231cf644a495be12af66221"/>
      <w:r>
        <w:t xml:space="preserve">HISN — Workforce IAM Authority Reconciliation</w:t>
      </w:r>
    </w:p>
    <w:p>
      <w:pPr>
        <w:pStyle w:val="Heading2"/>
      </w:pPr>
      <w:bookmarkStart w:id="10" w:name="_136e10d0960e33ada9821039e6600171f18ba6c"/>
      <w:r>
        <w:t xml:space="preserve">Principal / Actor / Session / Authorization Evidence Gate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IAM-01 CLOSED / IAM-03 CANONICALIZED / IAM-04 IN PROGRESS</w:t>
      </w:r>
      <w:r>
        <w:br/>
      </w:r>
      <w:r>
        <w:rPr>
          <w:b/>
          <w:bCs/>
        </w:rPr>
        <w:t xml:space="preserve">Date:</w:t>
      </w:r>
      <w:r>
        <w:t xml:space="preserve"> </w:t>
      </w:r>
      <w:r>
        <w:t xml:space="preserve">2026-09-20</w:t>
      </w:r>
      <w:r>
        <w:br/>
      </w:r>
      <w:r>
        <w:rPr>
          <w:b/>
          <w:bCs/>
        </w:rPr>
        <w:t xml:space="preserve">Scope:</w:t>
      </w:r>
      <w:r>
        <w:t xml:space="preserve"> </w:t>
      </w:r>
      <w:r>
        <w:t xml:space="preserve">Workforce identity, authorization, approvals, audit attribution, and runtime actor semantics.</w:t>
      </w:r>
    </w:p>
    <w:p>
      <w:pPr>
        <w:pStyle w:val="Heading2"/>
      </w:pPr>
      <w:bookmarkStart w:id="11" w:name="_finding"/>
      <w:r>
        <w:t xml:space="preserve">1. Finding</w:t>
      </w:r>
    </w:p>
    <w:p>
      <w:pPr>
        <w:pStyle w:val="FirstParagraph"/>
      </w:pPr>
      <w:r>
        <w:t xml:space="preserve">HISN already has a working workforce authentication and authorization path.</w:t>
      </w:r>
    </w:p>
    <w:p>
      <w:pPr>
        <w:pStyle w:val="BodyText"/>
      </w:pPr>
      <w:r>
        <w:t xml:space="preserve">The current runtime representation is:</w:t>
      </w:r>
    </w:p>
    <w:p>
      <w:pPr>
        <w:pStyle w:val="SourceCode"/>
      </w:pPr>
      <w:r>
        <w:rPr>
          <w:rStyle w:val="VerbatimChar"/>
        </w:rPr>
        <w:t xml:space="preserve">JWT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</w:rPr>
        <w:t xml:space="preserve">get_current_principal()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</w:rPr>
        <w:t xml:space="preserve">Principal(user_id, tenant_id, role)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</w:rPr>
        <w:t xml:space="preserve">authorization runtime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</w:rPr>
        <w:t xml:space="preserve">protected API / approval / audit</w:t>
      </w:r>
    </w:p>
    <w:p>
      <w:pPr>
        <w:pStyle w:val="FirstParagraph"/>
      </w:pPr>
      <w:r>
        <w:t xml:space="preserve">Therefore the system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have a missing-IAM problem.</w:t>
      </w:r>
    </w:p>
    <w:p>
      <w:pPr>
        <w:pStyle w:val="BodyText"/>
      </w:pPr>
      <w:r>
        <w:t xml:space="preserve">The architectural problem is</w:t>
      </w:r>
      <w:r>
        <w:t xml:space="preserve"> </w:t>
      </w:r>
      <w:r>
        <w:rPr>
          <w:b/>
          <w:bCs/>
        </w:rPr>
        <w:t xml:space="preserve">contract normalization</w:t>
      </w:r>
      <w:r>
        <w:t xml:space="preserve">: actor identity, principal identity, session identity, service identity, approvals, audit, and domain-event attribution do not yet share one canonical typed authority.</w:t>
      </w:r>
    </w:p>
    <w:p>
      <w:pPr>
        <w:pStyle w:val="Heading2"/>
      </w:pPr>
      <w:bookmarkStart w:id="12" w:name="_b8cb39c42ee3ad23b02524d20289dc577e8664b"/>
      <w:r>
        <w:t xml:space="preserve">2. Current Runtime Evidence</w:t>
      </w:r>
    </w:p>
    <w:p>
      <w:pPr>
        <w:pStyle w:val="Heading3"/>
      </w:pPr>
      <w:bookmarkStart w:id="13" w:name="_authentication"/>
      <w:r>
        <w:t xml:space="preserve">Authentication</w:t>
      </w:r>
    </w:p>
    <w:p>
      <w:pPr>
        <w:pStyle w:val="FirstParagraph"/>
      </w:pPr>
      <w:r>
        <w:rPr>
          <w:rStyle w:val="VerbatimChar"/>
        </w:rPr>
        <w:t xml:space="preserve">src/infrastructure/auth.py</w:t>
      </w:r>
      <w:r>
        <w:t xml:space="preserve"> </w:t>
      </w:r>
      <w:r>
        <w:t xml:space="preserve">resolves a live workforce principal from JWT claims and re-validates the user/tenant against the database.</w:t>
      </w:r>
    </w:p>
    <w:p>
      <w:pPr>
        <w:pStyle w:val="BodyText"/>
      </w:pPr>
      <w:r>
        <w:t xml:space="preserve">The runtime principal is:</w:t>
      </w:r>
    </w:p>
    <w:p>
      <w:pPr>
        <w:pStyle w:val="SourceCode"/>
      </w:pPr>
      <w:r>
        <w:rPr>
          <w:rStyle w:val="AttributeTok"/>
        </w:rPr>
        <w:t xml:space="preserve">@dataclass</w:t>
      </w:r>
      <w:r>
        <w:rPr>
          <w:rStyle w:val="NormalTok"/>
        </w:rPr>
        <w:t xml:space="preserve">(frozen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Principal:</w:t>
      </w:r>
      <w:r>
        <w:br/>
      </w:r>
      <w:r>
        <w:rPr>
          <w:rStyle w:val="NormalTok"/>
        </w:rPr>
        <w:t xml:space="preserve">    user_id: </w:t>
      </w:r>
      <w:r>
        <w:rPr>
          <w:rStyle w:val="BuiltInTok"/>
        </w:rPr>
        <w:t xml:space="preserve">str</w:t>
      </w:r>
      <w:r>
        <w:br/>
      </w:r>
      <w:r>
        <w:rPr>
          <w:rStyle w:val="NormalTok"/>
        </w:rPr>
        <w:t xml:space="preserve">    tenant_id: UUID</w:t>
      </w:r>
      <w:r>
        <w:br/>
      </w:r>
      <w:r>
        <w:rPr>
          <w:rStyle w:val="NormalTok"/>
        </w:rPr>
        <w:t xml:space="preserve">    role: </w:t>
      </w:r>
      <w:r>
        <w:rPr>
          <w:rStyle w:val="BuiltInTok"/>
        </w:rPr>
        <w:t xml:space="preserve">str</w:t>
      </w:r>
    </w:p>
    <w:p>
      <w:pPr>
        <w:pStyle w:val="Heading3"/>
      </w:pPr>
      <w:bookmarkStart w:id="14" w:name="_authorization"/>
      <w:r>
        <w:t xml:space="preserve">Authorization</w:t>
      </w:r>
    </w:p>
    <w:p>
      <w:pPr>
        <w:pStyle w:val="FirstParagraph"/>
      </w:pPr>
      <w:r>
        <w:t xml:space="preserve">Canonical runtime authorization is under:</w:t>
      </w:r>
    </w:p>
    <w:p>
      <w:pPr>
        <w:pStyle w:val="SourceCode"/>
      </w:pPr>
      <w:r>
        <w:rPr>
          <w:rStyle w:val="VerbatimChar"/>
        </w:rPr>
        <w:t xml:space="preserve">src/platform/security/authorization/runtime.py</w:t>
      </w:r>
    </w:p>
    <w:p>
      <w:pPr>
        <w:pStyle w:val="FirstParagraph"/>
      </w:pPr>
      <w:r>
        <w:t xml:space="preserve">It enforces tenant/domain/role/permission semantics against the runtime principal.</w:t>
      </w:r>
    </w:p>
    <w:p>
      <w:pPr>
        <w:pStyle w:val="Heading3"/>
      </w:pPr>
      <w:bookmarkStart w:id="15" w:name="_approval"/>
      <w:r>
        <w:t xml:space="preserve">Approval</w:t>
      </w:r>
    </w:p>
    <w:p>
      <w:pPr>
        <w:pStyle w:val="SourceCode"/>
      </w:pPr>
      <w:r>
        <w:rPr>
          <w:rStyle w:val="VerbatimChar"/>
        </w:rPr>
        <w:t xml:space="preserve">src/platform/governance/approval.py</w:t>
      </w:r>
    </w:p>
    <w:p>
      <w:pPr>
        <w:pStyle w:val="FirstParagraph"/>
      </w:pPr>
      <w:r>
        <w:t xml:space="preserve">uses the runtime principal and stores maker/checker attribution. Self-approval is prevented.</w:t>
      </w:r>
    </w:p>
    <w:p>
      <w:pPr>
        <w:pStyle w:val="Heading3"/>
      </w:pPr>
      <w:bookmarkStart w:id="16" w:name="_audit"/>
      <w:r>
        <w:t xml:space="preserve">Audit</w:t>
      </w:r>
    </w:p>
    <w:p>
      <w:pPr>
        <w:pStyle w:val="FirstParagraph"/>
      </w:pPr>
      <w:r>
        <w:t xml:space="preserve">Multiple audit surfaces currently represent actor identity differently:</w:t>
      </w:r>
    </w:p>
    <w:p>
      <w:pPr>
        <w:pStyle w:val="Compact"/>
        <w:numPr>
          <w:ilvl w:val="0"/>
          <w:numId w:val="1001"/>
        </w:numPr>
      </w:pPr>
      <w:r>
        <w:t xml:space="preserve">core audit uses</w:t>
      </w:r>
      <w:r>
        <w:t xml:space="preserve"> </w:t>
      </w:r>
      <w:r>
        <w:rPr>
          <w:rStyle w:val="VerbatimChar"/>
        </w:rPr>
        <w:t xml:space="preserve">actor: 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security audit uses</w:t>
      </w:r>
      <w:r>
        <w:t xml:space="preserve"> </w:t>
      </w:r>
      <w:r>
        <w:rPr>
          <w:rStyle w:val="VerbatimChar"/>
        </w:rPr>
        <w:t xml:space="preserve">actor_id: 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some platform audit paths use a fixed system actor.</w:t>
      </w:r>
    </w:p>
    <w:p>
      <w:pPr>
        <w:pStyle w:val="FirstParagraph"/>
      </w:pPr>
      <w:r>
        <w:t xml:space="preserve">This is evidence of an actor-authority normalization gap, not evidence that audit is absent.</w:t>
      </w:r>
    </w:p>
    <w:p>
      <w:pPr>
        <w:pStyle w:val="Heading3"/>
      </w:pPr>
      <w:bookmarkStart w:id="17" w:name="_a77ec6af14e25207f800bacb40235b0bb8b0e8b"/>
      <w:r>
        <w:t xml:space="preserve">Design authority</w:t>
      </w:r>
    </w:p>
    <w:p>
      <w:pPr>
        <w:pStyle w:val="FirstParagraph"/>
      </w:pPr>
      <w:r>
        <w:t xml:space="preserve">ADR-015A and ADR-016 define stronger target semantics including principal identity, session identity, tenant, role/permission context, action/resource, and assurance level.</w:t>
      </w:r>
    </w:p>
    <w:p>
      <w:pPr>
        <w:pStyle w:val="BodyText"/>
      </w:pPr>
      <w:r>
        <w:t xml:space="preserve">These ADRs are design-only and do not authorize a runtime rewrite by themselves.</w:t>
      </w:r>
    </w:p>
    <w:p>
      <w:pPr>
        <w:pStyle w:val="Heading2"/>
      </w:pPr>
      <w:bookmarkStart w:id="18" w:name="_5d4875e69784c4c0eff53516315fe4fb3dcf5af"/>
      <w:r>
        <w:t xml:space="preserve">3. Principal vs Party Boundary</w:t>
      </w:r>
    </w:p>
    <w:p>
      <w:pPr>
        <w:pStyle w:val="FirstParagraph"/>
      </w:pPr>
      <w:r>
        <w:t xml:space="preserve">These identities must remain distinct:</w:t>
      </w:r>
    </w:p>
    <w:p>
      <w:pPr>
        <w:pStyle w:val="SourceCode"/>
      </w:pPr>
      <w:r>
        <w:rPr>
          <w:rStyle w:val="VerbatimChar"/>
        </w:rPr>
        <w:t xml:space="preserve">PartyId</w:t>
      </w:r>
      <w:r>
        <w:br/>
      </w:r>
      <w:r>
        <w:rPr>
          <w:rStyle w:val="VerbatimChar"/>
        </w:rPr>
        <w:t xml:space="preserve">  = customer / legal / identity-domain subject</w:t>
      </w:r>
      <w:r>
        <w:br/>
      </w:r>
      <w:r>
        <w:br/>
      </w:r>
      <w:r>
        <w:rPr>
          <w:rStyle w:val="VerbatimChar"/>
        </w:rPr>
        <w:t xml:space="preserve">PrincipalId</w:t>
      </w:r>
      <w:r>
        <w:br/>
      </w:r>
      <w:r>
        <w:rPr>
          <w:rStyle w:val="VerbatimChar"/>
        </w:rPr>
        <w:t xml:space="preserve">  = workforce actor authorized to operate HISN</w:t>
      </w:r>
      <w:r>
        <w:br/>
      </w:r>
      <w:r>
        <w:br/>
      </w:r>
      <w:r>
        <w:rPr>
          <w:rStyle w:val="VerbatimChar"/>
        </w:rPr>
        <w:t xml:space="preserve">ServiceIdentity</w:t>
      </w:r>
      <w:r>
        <w:br/>
      </w:r>
      <w:r>
        <w:rPr>
          <w:rStyle w:val="VerbatimChar"/>
        </w:rPr>
        <w:t xml:space="preserve">  = non-human runtime actor</w:t>
      </w:r>
      <w:r>
        <w:br/>
      </w:r>
      <w:r>
        <w:br/>
      </w:r>
      <w:r>
        <w:rPr>
          <w:rStyle w:val="VerbatimChar"/>
        </w:rPr>
        <w:t xml:space="preserve">AccountId / CustomerId / LegalEntityId</w:t>
      </w:r>
      <w:r>
        <w:br/>
      </w:r>
      <w:r>
        <w:rPr>
          <w:rStyle w:val="VerbatimChar"/>
        </w:rPr>
        <w:t xml:space="preserve">  = domain-specific legacy or financial identifiers</w:t>
      </w:r>
    </w:p>
    <w:p>
      <w:pPr>
        <w:pStyle w:val="FirstParagraph"/>
      </w:pPr>
      <w:r>
        <w:t xml:space="preserve">A workforce</w:t>
      </w:r>
      <w:r>
        <w:t xml:space="preserve"> </w:t>
      </w:r>
      <w:r>
        <w:rPr>
          <w:rStyle w:val="VerbatimChar"/>
        </w:rPr>
        <w:t xml:space="preserve">user_id</w:t>
      </w:r>
      <w:r>
        <w:t xml:space="preserve"> </w:t>
      </w:r>
      <w:r>
        <w:t xml:space="preserve">must not be converted to</w:t>
      </w:r>
      <w:r>
        <w:t xml:space="preserve"> </w:t>
      </w:r>
      <w:r>
        <w:rPr>
          <w:rStyle w:val="VerbatimChar"/>
        </w:rPr>
        <w:t xml:space="preserve">PartyId</w:t>
      </w:r>
      <w:r>
        <w:t xml:space="preserve"> </w:t>
      </w:r>
      <w:r>
        <w:t xml:space="preserve">merely to obtain a common UUID type.</w:t>
      </w:r>
    </w:p>
    <w:p>
      <w:pPr>
        <w:pStyle w:val="Heading2"/>
      </w:pPr>
      <w:bookmarkStart w:id="19" w:name="_0bfa7cf126e294361a0e2d61b0685c8b55c6637"/>
      <w:r>
        <w:t xml:space="preserve">4. Runtime Gaps</w:t>
      </w:r>
    </w:p>
    <w:p>
      <w:pPr>
        <w:pStyle w:val="Heading3"/>
      </w:pPr>
      <w:bookmarkStart w:id="20" w:name="_eaa091b510aea0f63566d11d596ada08e5dced7"/>
      <w:r>
        <w:t xml:space="preserve">G-1 — No single canonical typed PrincipalId</w:t>
      </w:r>
    </w:p>
    <w:p>
      <w:pPr>
        <w:pStyle w:val="FirstParagraph"/>
      </w:pPr>
      <w:r>
        <w:t xml:space="preserve">Design material refers to</w:t>
      </w:r>
      <w:r>
        <w:t xml:space="preserve"> </w:t>
      </w:r>
      <w:r>
        <w:rPr>
          <w:rStyle w:val="VerbatimChar"/>
        </w:rPr>
        <w:t xml:space="preserve">PrincipalId</w:t>
      </w:r>
      <w:r>
        <w:t xml:space="preserve">, but the live runtime principally carries</w:t>
      </w:r>
      <w:r>
        <w:t xml:space="preserve"> </w:t>
      </w:r>
      <w:r>
        <w:rPr>
          <w:rStyle w:val="VerbatimChar"/>
        </w:rPr>
        <w:t xml:space="preserve">user_id: str</w:t>
      </w:r>
      <w:r>
        <w:t xml:space="preserve">.</w:t>
      </w:r>
    </w:p>
    <w:p>
      <w:pPr>
        <w:pStyle w:val="Heading3"/>
      </w:pPr>
      <w:bookmarkStart w:id="21" w:name="_8ae567d144d27d45a7d8b35f2383bba89facfb9"/>
      <w:r>
        <w:t xml:space="preserve">G-2 — Session identity is not one canonical runtime contract</w:t>
      </w:r>
    </w:p>
    <w:p>
      <w:pPr>
        <w:pStyle w:val="FirstParagraph"/>
      </w:pPr>
      <w:r>
        <w:t xml:space="preserve">ADR-015A/016 define session semantics, but the current runtime principal contract does not expose a canonical session identifier.</w:t>
      </w:r>
    </w:p>
    <w:p>
      <w:pPr>
        <w:pStyle w:val="Heading3"/>
      </w:pPr>
      <w:bookmarkStart w:id="22" w:name="_b37344b0a35d130e6d02026f21929e9a9333305"/>
      <w:r>
        <w:t xml:space="preserve">G-3 — Actor attribution is fragmented</w:t>
      </w:r>
    </w:p>
    <w:p>
      <w:pPr>
        <w:pStyle w:val="FirstParagraph"/>
      </w:pPr>
      <w:r>
        <w:t xml:space="preserve">Audit/event surfaces use different actor representations, including human and system strings.</w:t>
      </w:r>
    </w:p>
    <w:p>
      <w:pPr>
        <w:pStyle w:val="Heading3"/>
      </w:pPr>
      <w:bookmarkStart w:id="23" w:name="_d63756ee4e4207bd0570326cd8c402770d8fd66"/>
      <w:r>
        <w:t xml:space="preserve">G-4 — Service identity is not normalized with human actor identity</w:t>
      </w:r>
    </w:p>
    <w:p>
      <w:pPr>
        <w:pStyle w:val="FirstParagraph"/>
      </w:pPr>
      <w:r>
        <w:t xml:space="preserve">System-generated actions require explicit provenance distinct from human workforce actions.</w:t>
      </w:r>
    </w:p>
    <w:p>
      <w:pPr>
        <w:pStyle w:val="Heading3"/>
      </w:pPr>
      <w:bookmarkStart w:id="24" w:name="_d5114a6b731c834e15a917fb51c86b523fbb351"/>
      <w:r>
        <w:t xml:space="preserve">G-5 — Production database identity type is now verified</w:t>
      </w:r>
    </w:p>
    <w:p>
      <w:pPr>
        <w:pStyle w:val="FirstParagraph"/>
      </w:pPr>
      <w:r>
        <w:t xml:space="preserve">Static source definitions remain inconsistent: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database/schema/00-foundation/018_user_identity.sql</w:t>
      </w:r>
      <w:r>
        <w:t xml:space="preserve"> </w:t>
      </w:r>
      <w:r>
        <w:t xml:space="preserve">declares</w:t>
      </w:r>
      <w:r>
        <w:t xml:space="preserve"> </w:t>
      </w:r>
      <w:r>
        <w:rPr>
          <w:rStyle w:val="VerbatimChar"/>
        </w:rPr>
        <w:t xml:space="preserve">hisn.users.id SERIAL PRIMARY KEY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scripts/ensure_runtime_schema.py</w:t>
      </w:r>
      <w:r>
        <w:t xml:space="preserve"> </w:t>
      </w:r>
      <w:r>
        <w:t xml:space="preserve">contains a UUID-based compatibility definition for</w:t>
      </w:r>
      <w:r>
        <w:t xml:space="preserve"> </w:t>
      </w:r>
      <w:r>
        <w:rPr>
          <w:rStyle w:val="VerbatimChar"/>
        </w:rPr>
        <w:t xml:space="preserve">users.id</w:t>
      </w:r>
      <w:r>
        <w:t xml:space="preserve">.</w:t>
      </w:r>
    </w:p>
    <w:p>
      <w:pPr>
        <w:pStyle w:val="FirstParagraph"/>
      </w:pPr>
      <w:r>
        <w:t xml:space="preserve">Direct read-only metadata inspection of the</w:t>
      </w:r>
      <w:r>
        <w:t xml:space="preserve"> </w:t>
      </w:r>
      <w:r>
        <w:rPr>
          <w:b/>
          <w:bCs/>
        </w:rPr>
        <w:t xml:space="preserve">live production PostgreSQL database</w:t>
      </w:r>
      <w:r>
        <w:t xml:space="preserve"> </w:t>
      </w:r>
      <w:r>
        <w:t xml:space="preserve">was executed on 2026-09-20 from the running</w:t>
      </w:r>
      <w:r>
        <w:t xml:space="preserve"> </w:t>
      </w:r>
      <w:r>
        <w:rPr>
          <w:rStyle w:val="VerbatimChar"/>
        </w:rPr>
        <w:t xml:space="preserve">hisn-platform</w:t>
      </w:r>
      <w:r>
        <w:t xml:space="preserve"> </w:t>
      </w:r>
      <w:r>
        <w:t xml:space="preserve">container.</w:t>
      </w:r>
    </w:p>
    <w:p>
      <w:pPr>
        <w:pStyle w:val="BodyText"/>
      </w:pPr>
      <w:r>
        <w:t xml:space="preserve">Observed:</w:t>
      </w:r>
    </w:p>
    <w:p>
      <w:pPr>
        <w:pStyle w:val="SourceCode"/>
      </w:pPr>
      <w:r>
        <w:rPr>
          <w:rStyle w:val="VerbatimChar"/>
        </w:rPr>
        <w:t xml:space="preserve">hisn.users.id        = uuid / gen_random_uuid()</w:t>
      </w:r>
      <w:r>
        <w:br/>
      </w:r>
      <w:r>
        <w:rPr>
          <w:rStyle w:val="VerbatimChar"/>
        </w:rPr>
        <w:t xml:space="preserve">hisn.users.tenant_id = uuid</w:t>
      </w:r>
      <w:r>
        <w:br/>
      </w:r>
      <w:r>
        <w:rPr>
          <w:rStyle w:val="VerbatimChar"/>
        </w:rPr>
        <w:t xml:space="preserve">hisn.users.active    = boolean / true</w:t>
      </w:r>
    </w:p>
    <w:p>
      <w:pPr>
        <w:pStyle w:val="FirstParagraph"/>
      </w:pPr>
      <w:r>
        <w:t xml:space="preserve">Evidence record:</w:t>
      </w:r>
    </w:p>
    <w:p>
      <w:pPr>
        <w:pStyle w:val="BodyText"/>
      </w:pPr>
      <w:r>
        <w:rPr>
          <w:rStyle w:val="VerbatimChar"/>
        </w:rPr>
        <w:t xml:space="preserve">docs/architecture/WORKFORCE_IAM_LIVE_SCHEMA_EVIDENCE_2026-09-20.md</w:t>
      </w:r>
    </w:p>
    <w:p>
      <w:pPr>
        <w:pStyle w:val="BodyText"/>
      </w:pPr>
      <w:r>
        <w:t xml:space="preserve">Therefore the current production persistence authority for IAM-01 is</w:t>
      </w:r>
      <w:r>
        <w:t xml:space="preserve"> </w:t>
      </w:r>
      <w:r>
        <w:rPr>
          <w:b/>
          <w:bCs/>
        </w:rPr>
        <w:t xml:space="preserve">UUID-based</w:t>
      </w:r>
      <w:r>
        <w:t xml:space="preserve">.</w:t>
      </w:r>
    </w:p>
    <w:p>
      <w:pPr>
        <w:pStyle w:val="BodyText"/>
      </w:pPr>
      <w:r>
        <w:t xml:space="preserve">This closes the live-schema uncertainty. It does not authorize rewriting the conflicting source definitions or changing the production schema as part of IAM normalization.</w:t>
      </w:r>
    </w:p>
    <w:p>
      <w:pPr>
        <w:pStyle w:val="Heading2"/>
      </w:pPr>
      <w:bookmarkStart w:id="25" w:name="_a1f438982ce69a22a422d59c691ef5b4e7906b8"/>
      <w:r>
        <w:t xml:space="preserve">5. Required Canonical Runtime Contract</w:t>
      </w:r>
    </w:p>
    <w:p>
      <w:pPr>
        <w:pStyle w:val="FirstParagraph"/>
      </w:pPr>
      <w:r>
        <w:t xml:space="preserve">The intended target is a small cross-cutting contract, not a large IAM rewrite:</w:t>
      </w:r>
    </w:p>
    <w:p>
      <w:pPr>
        <w:pStyle w:val="SourceCode"/>
      </w:pPr>
      <w:r>
        <w:rPr>
          <w:rStyle w:val="VerbatimChar"/>
        </w:rPr>
        <w:t xml:space="preserve">PrincipalContext</w:t>
      </w:r>
      <w:r>
        <w:br/>
      </w:r>
      <w:r>
        <w:rPr>
          <w:rStyle w:val="VerbatimChar"/>
        </w:rPr>
        <w:t xml:space="preserve">├── principal_id</w:t>
      </w:r>
      <w:r>
        <w:br/>
      </w:r>
      <w:r>
        <w:rPr>
          <w:rStyle w:val="VerbatimChar"/>
        </w:rPr>
        <w:t xml:space="preserve">├── principal_type   HUMAN | SERVICE</w:t>
      </w:r>
      <w:r>
        <w:br/>
      </w:r>
      <w:r>
        <w:rPr>
          <w:rStyle w:val="VerbatimChar"/>
        </w:rPr>
        <w:t xml:space="preserve">├── tenant_id</w:t>
      </w:r>
      <w:r>
        <w:br/>
      </w:r>
      <w:r>
        <w:rPr>
          <w:rStyle w:val="VerbatimChar"/>
        </w:rPr>
        <w:t xml:space="preserve">├── role(s)</w:t>
      </w:r>
      <w:r>
        <w:br/>
      </w:r>
      <w:r>
        <w:rPr>
          <w:rStyle w:val="VerbatimChar"/>
        </w:rPr>
        <w:t xml:space="preserve">├── permission context</w:t>
      </w:r>
      <w:r>
        <w:br/>
      </w:r>
      <w:r>
        <w:rPr>
          <w:rStyle w:val="VerbatimChar"/>
        </w:rPr>
        <w:t xml:space="preserve">├── session_id       optional for service actors</w:t>
      </w:r>
      <w:r>
        <w:br/>
      </w:r>
      <w:r>
        <w:rPr>
          <w:rStyle w:val="VerbatimChar"/>
        </w:rPr>
        <w:t xml:space="preserve">├── assurance_level</w:t>
      </w:r>
      <w:r>
        <w:br/>
      </w:r>
      <w:r>
        <w:rPr>
          <w:rStyle w:val="VerbatimChar"/>
        </w:rPr>
        <w:t xml:space="preserve">└── authentication_context</w:t>
      </w:r>
    </w:p>
    <w:p>
      <w:pPr>
        <w:pStyle w:val="FirstParagraph"/>
      </w:pPr>
      <w:r>
        <w:t xml:space="preserve">Rules: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PartyId</w:t>
      </w:r>
      <w:r>
        <w:t xml:space="preserve"> </w:t>
      </w:r>
      <w:r>
        <w:t xml:space="preserve">is never substituted for</w:t>
      </w:r>
      <w:r>
        <w:t xml:space="preserve"> </w:t>
      </w:r>
      <w:r>
        <w:rPr>
          <w:rStyle w:val="VerbatimChar"/>
        </w:rPr>
        <w:t xml:space="preserve">PrincipalId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Human and service actors remain distinguishable.</w:t>
      </w:r>
    </w:p>
    <w:p>
      <w:pPr>
        <w:pStyle w:val="Compact"/>
        <w:numPr>
          <w:ilvl w:val="0"/>
          <w:numId w:val="1003"/>
        </w:numPr>
      </w:pPr>
      <w:r>
        <w:t xml:space="preserve">Authorization receives the same principal context that audit records.</w:t>
      </w:r>
    </w:p>
    <w:p>
      <w:pPr>
        <w:pStyle w:val="Compact"/>
        <w:numPr>
          <w:ilvl w:val="0"/>
          <w:numId w:val="1003"/>
        </w:numPr>
      </w:pPr>
      <w:r>
        <w:t xml:space="preserve">Approval records reference the canonical actor identity.</w:t>
      </w:r>
    </w:p>
    <w:p>
      <w:pPr>
        <w:pStyle w:val="Compact"/>
        <w:numPr>
          <w:ilvl w:val="0"/>
          <w:numId w:val="1003"/>
        </w:numPr>
      </w:pPr>
      <w:r>
        <w:t xml:space="preserve">Domain events carry canonical actor attribution when the event semantics require an actor.</w:t>
      </w:r>
    </w:p>
    <w:p>
      <w:pPr>
        <w:pStyle w:val="Compact"/>
        <w:numPr>
          <w:ilvl w:val="0"/>
          <w:numId w:val="1003"/>
        </w:numPr>
      </w:pPr>
      <w:r>
        <w:t xml:space="preserve">Session identity is not fabricated for non-interactive service actions.</w:t>
      </w:r>
    </w:p>
    <w:p>
      <w:pPr>
        <w:pStyle w:val="Compact"/>
        <w:numPr>
          <w:ilvl w:val="0"/>
          <w:numId w:val="1003"/>
        </w:numPr>
      </w:pPr>
      <w:r>
        <w:t xml:space="preserve">Existing</w:t>
      </w:r>
      <w:r>
        <w:t xml:space="preserve"> </w:t>
      </w:r>
      <w:r>
        <w:rPr>
          <w:rStyle w:val="VerbatimChar"/>
        </w:rPr>
        <w:t xml:space="preserve">user_id</w:t>
      </w:r>
      <w:r>
        <w:t xml:space="preserve"> </w:t>
      </w:r>
      <w:r>
        <w:t xml:space="preserve">storage is preserved until persistence authority is proven.</w:t>
      </w:r>
    </w:p>
    <w:p>
      <w:pPr>
        <w:pStyle w:val="Heading2"/>
      </w:pPr>
      <w:bookmarkStart w:id="26" w:name="_68812346180081133d9a126a366976ec332acce"/>
      <w:r>
        <w:t xml:space="preserve">6. Gate Order</w:t>
      </w:r>
    </w:p>
    <w:p>
      <w:pPr>
        <w:pStyle w:val="FirstParagraph"/>
      </w:pPr>
      <w:r>
        <w:t xml:space="preserve">No source-code migration is authorized until the following evidence is closed:</w:t>
      </w:r>
    </w:p>
    <w:p>
      <w:pPr>
        <w:pStyle w:val="Heading3"/>
      </w:pPr>
      <w:bookmarkStart w:id="27" w:name="_b1399b630ed5b897ce2956d9093616e3e613cbe"/>
      <w:r>
        <w:t xml:space="preserve">Gate IAM-01 — Live schema evidence — CLOSED</w:t>
      </w:r>
    </w:p>
    <w:p>
      <w:pPr>
        <w:pStyle w:val="FirstParagraph"/>
      </w:pPr>
      <w:r>
        <w:t xml:space="preserve">Direct read-only inspection of the production PostgreSQL catalog confirmed:</w:t>
      </w:r>
    </w:p>
    <w:p>
      <w:pPr>
        <w:pStyle w:val="SourceCode"/>
      </w:pPr>
      <w:r>
        <w:rPr>
          <w:rStyle w:val="VerbatimChar"/>
        </w:rPr>
        <w:t xml:space="preserve">hisn.users.id        = uuid</w:t>
      </w:r>
      <w:r>
        <w:br/>
      </w:r>
      <w:r>
        <w:rPr>
          <w:rStyle w:val="VerbatimChar"/>
        </w:rPr>
        <w:t xml:space="preserve">hisn.users.tenant_id = uuid</w:t>
      </w:r>
    </w:p>
    <w:p>
      <w:pPr>
        <w:pStyle w:val="FirstParagraph"/>
      </w:pPr>
      <w:r>
        <w:t xml:space="preserve">Evidence:</w:t>
      </w:r>
    </w:p>
    <w:p>
      <w:pPr>
        <w:pStyle w:val="BodyText"/>
      </w:pPr>
      <w:r>
        <w:rPr>
          <w:rStyle w:val="VerbatimChar"/>
        </w:rPr>
        <w:t xml:space="preserve">docs/architecture/WORKFORCE_IAM_LIVE_SCHEMA_EVIDENCE_2026-09-20.md</w:t>
      </w:r>
    </w:p>
    <w:p>
      <w:pPr>
        <w:pStyle w:val="Heading3"/>
      </w:pPr>
      <w:bookmarkStart w:id="28" w:name="_9d366b9a720a07af00625b882bef2008f521baa"/>
      <w:r>
        <w:t xml:space="preserve">Gate IAM-02 — Consumer inventory</w:t>
      </w:r>
    </w:p>
    <w:p>
      <w:pPr>
        <w:pStyle w:val="FirstParagraph"/>
      </w:pPr>
      <w:r>
        <w:t xml:space="preserve">Prove all runtime consumers of</w:t>
      </w:r>
      <w:r>
        <w:t xml:space="preserve"> </w:t>
      </w:r>
      <w:r>
        <w:rPr>
          <w:rStyle w:val="VerbatimChar"/>
        </w:rPr>
        <w:t xml:space="preserve">Principal.user_id</w:t>
      </w:r>
      <w:r>
        <w:t xml:space="preserve">, audit actor fields, approval maker/checker fields, and domain-event actor fields.</w:t>
      </w:r>
    </w:p>
    <w:p>
      <w:pPr>
        <w:pStyle w:val="Heading3"/>
      </w:pPr>
      <w:bookmarkStart w:id="29" w:name="_f2ad0d0b642f688d9e93306c6282e9f677c3c81"/>
      <w:r>
        <w:t xml:space="preserve">Gate IAM-03 — Contract design</w:t>
      </w:r>
    </w:p>
    <w:p>
      <w:pPr>
        <w:pStyle w:val="FirstParagraph"/>
      </w:pPr>
      <w:r>
        <w:t xml:space="preserve">Define one canonical principal/actor contract with explicit compatibility adapters where existing persistence cannot move atomically.</w:t>
      </w:r>
    </w:p>
    <w:p>
      <w:pPr>
        <w:pStyle w:val="Heading3"/>
      </w:pPr>
      <w:bookmarkStart w:id="30" w:name="_c86059bb16e68657c993c160c74f6a07db04bda"/>
      <w:r>
        <w:t xml:space="preserve">Gate IAM-04 — Regression</w:t>
      </w:r>
    </w:p>
    <w:p>
      <w:pPr>
        <w:pStyle w:val="FirstParagraph"/>
      </w:pPr>
      <w:r>
        <w:t xml:space="preserve">Add focused contract tests for:</w:t>
      </w:r>
    </w:p>
    <w:p>
      <w:pPr>
        <w:pStyle w:val="Compact"/>
        <w:numPr>
          <w:ilvl w:val="0"/>
          <w:numId w:val="1004"/>
        </w:numPr>
      </w:pPr>
      <w:r>
        <w:t xml:space="preserve">authentication → principal;</w:t>
      </w:r>
    </w:p>
    <w:p>
      <w:pPr>
        <w:pStyle w:val="Compact"/>
        <w:numPr>
          <w:ilvl w:val="0"/>
          <w:numId w:val="1004"/>
        </w:numPr>
      </w:pPr>
      <w:r>
        <w:t xml:space="preserve">authorization → principal;</w:t>
      </w:r>
    </w:p>
    <w:p>
      <w:pPr>
        <w:pStyle w:val="Compact"/>
        <w:numPr>
          <w:ilvl w:val="0"/>
          <w:numId w:val="1004"/>
        </w:numPr>
      </w:pPr>
      <w:r>
        <w:t xml:space="preserve">approval → maker/checker;</w:t>
      </w:r>
    </w:p>
    <w:p>
      <w:pPr>
        <w:pStyle w:val="Compact"/>
        <w:numPr>
          <w:ilvl w:val="0"/>
          <w:numId w:val="1004"/>
        </w:numPr>
      </w:pPr>
      <w:r>
        <w:t xml:space="preserve">audit → actor;</w:t>
      </w:r>
    </w:p>
    <w:p>
      <w:pPr>
        <w:pStyle w:val="Compact"/>
        <w:numPr>
          <w:ilvl w:val="0"/>
          <w:numId w:val="1004"/>
        </w:numPr>
      </w:pPr>
      <w:r>
        <w:t xml:space="preserve">event → actor;</w:t>
      </w:r>
    </w:p>
    <w:p>
      <w:pPr>
        <w:pStyle w:val="Compact"/>
        <w:numPr>
          <w:ilvl w:val="0"/>
          <w:numId w:val="1004"/>
        </w:numPr>
      </w:pPr>
      <w:r>
        <w:t xml:space="preserve">tenant isolation;</w:t>
      </w:r>
    </w:p>
    <w:p>
      <w:pPr>
        <w:pStyle w:val="Compact"/>
        <w:numPr>
          <w:ilvl w:val="0"/>
          <w:numId w:val="1004"/>
        </w:numPr>
      </w:pPr>
      <w:r>
        <w:t xml:space="preserve">human/service distinction.</w:t>
      </w:r>
    </w:p>
    <w:p>
      <w:pPr>
        <w:pStyle w:val="Heading3"/>
      </w:pPr>
      <w:bookmarkStart w:id="31" w:name="_2fc85cb5a8b9ca0817092fb83d4908c6db47cf2"/>
      <w:r>
        <w:t xml:space="preserve">Gate IAM-05 — Deployment proof</w:t>
      </w:r>
    </w:p>
    <w:p>
      <w:pPr>
        <w:pStyle w:val="FirstParagraph"/>
      </w:pPr>
      <w:r>
        <w:t xml:space="preserve">Run the full regression suite and verify Railway deployment SUCCESS with canonical startup/schema reconciliation.</w:t>
      </w:r>
    </w:p>
    <w:p>
      <w:pPr>
        <w:pStyle w:val="Heading2"/>
      </w:pPr>
      <w:bookmarkStart w:id="32" w:name="_6d11ceff08b6453743547e262250634070372de"/>
      <w:r>
        <w:t xml:space="preserve">7. Non-Goals</w:t>
      </w:r>
    </w:p>
    <w:p>
      <w:pPr>
        <w:pStyle w:val="FirstParagraph"/>
      </w:pPr>
      <w:r>
        <w:t xml:space="preserve">This gate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authorize:</w:t>
      </w:r>
    </w:p>
    <w:p>
      <w:pPr>
        <w:pStyle w:val="Compact"/>
        <w:numPr>
          <w:ilvl w:val="0"/>
          <w:numId w:val="1005"/>
        </w:numPr>
      </w:pPr>
      <w:r>
        <w:t xml:space="preserve">changing</w:t>
      </w:r>
      <w:r>
        <w:t xml:space="preserve"> </w:t>
      </w:r>
      <w:r>
        <w:rPr>
          <w:rStyle w:val="VerbatimChar"/>
        </w:rPr>
        <w:t xml:space="preserve">hisn.users.id</w:t>
      </w:r>
      <w:r>
        <w:t xml:space="preserve"> </w:t>
      </w:r>
      <w:r>
        <w:t xml:space="preserve">from integer to UUID;</w:t>
      </w:r>
    </w:p>
    <w:p>
      <w:pPr>
        <w:pStyle w:val="Compact"/>
        <w:numPr>
          <w:ilvl w:val="0"/>
          <w:numId w:val="1005"/>
        </w:numPr>
      </w:pPr>
      <w:r>
        <w:t xml:space="preserve">introducing Party runtime;</w:t>
      </w:r>
    </w:p>
    <w:p>
      <w:pPr>
        <w:pStyle w:val="Compact"/>
        <w:numPr>
          <w:ilvl w:val="0"/>
          <w:numId w:val="1005"/>
        </w:numPr>
      </w:pPr>
      <w:r>
        <w:t xml:space="preserve">global replacement of</w:t>
      </w:r>
      <w:r>
        <w:t xml:space="preserve"> </w:t>
      </w:r>
      <w:r>
        <w:rPr>
          <w:rStyle w:val="VerbatimChar"/>
        </w:rPr>
        <w:t xml:space="preserve">CustomerId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changing JWT storage semantics;</w:t>
      </w:r>
    </w:p>
    <w:p>
      <w:pPr>
        <w:pStyle w:val="Compact"/>
        <w:numPr>
          <w:ilvl w:val="0"/>
          <w:numId w:val="1005"/>
        </w:numPr>
      </w:pPr>
      <w:r>
        <w:t xml:space="preserve">adding an MFA provider;</w:t>
      </w:r>
    </w:p>
    <w:p>
      <w:pPr>
        <w:pStyle w:val="Compact"/>
        <w:numPr>
          <w:ilvl w:val="0"/>
          <w:numId w:val="1005"/>
        </w:numPr>
      </w:pPr>
      <w:r>
        <w:t xml:space="preserve">introducing microservices;</w:t>
      </w:r>
    </w:p>
    <w:p>
      <w:pPr>
        <w:pStyle w:val="Compact"/>
        <w:numPr>
          <w:ilvl w:val="0"/>
          <w:numId w:val="1005"/>
        </w:numPr>
      </w:pPr>
      <w:r>
        <w:t xml:space="preserve">moving authorization folders for aesthetic reasons.</w:t>
      </w:r>
    </w:p>
    <w:p>
      <w:pPr>
        <w:pStyle w:val="Heading2"/>
      </w:pPr>
      <w:bookmarkStart w:id="33" w:name="_decision"/>
      <w:r>
        <w:t xml:space="preserve">8. Decision</w:t>
      </w:r>
    </w:p>
    <w:p>
      <w:pPr>
        <w:pStyle w:val="FirstParagraph"/>
      </w:pPr>
      <w:r>
        <w:rPr>
          <w:b/>
          <w:bCs/>
        </w:rPr>
        <w:t xml:space="preserve">Current state:</w:t>
      </w:r>
      <w:r>
        <w:t xml:space="preserve"> </w:t>
      </w:r>
      <w:r>
        <w:t xml:space="preserve">WORKING IAM RUNTIME + CONTRACT FRAGMENTATION.</w:t>
      </w:r>
    </w:p>
    <w:p>
      <w:pPr>
        <w:pStyle w:val="BodyText"/>
      </w:pPr>
      <w:r>
        <w:rPr>
          <w:b/>
          <w:bCs/>
        </w:rPr>
        <w:t xml:space="preserve">Correct next move:</w:t>
      </w:r>
      <w:r>
        <w:t xml:space="preserve"> </w:t>
      </w:r>
      <w:r>
        <w:t xml:space="preserve">close IAM-01 with direct runtime database metadata evidence, then normalize the principal/actor contract with a bounded migration and regression gate.</w:t>
      </w:r>
    </w:p>
    <w:p>
      <w:pPr>
        <w:pStyle w:val="BodyText"/>
      </w:pPr>
      <w:r>
        <w:t xml:space="preserve">IAM-01 is now</w:t>
      </w:r>
      <w:r>
        <w:t xml:space="preserve"> </w:t>
      </w:r>
      <w:r>
        <w:rPr>
          <w:b/>
          <w:bCs/>
        </w:rPr>
        <w:t xml:space="preserve">CLOSED / VERIFIED</w:t>
      </w:r>
      <w:r>
        <w:t xml:space="preserve">. The live workforce identifier type is confirmed as UUID in production.</w:t>
      </w:r>
    </w:p>
    <w:p>
      <w:pPr>
        <w:pStyle w:val="BodyText"/>
      </w:pPr>
      <w:r>
        <w:t xml:space="preserve">The next authorized step is IAM-04 focused contract/security testing, followed by an adapter-first IAM-05 runtime adoption.</w:t>
      </w:r>
    </w:p>
    <w:p>
      <w:pPr>
        <w:pStyle w:val="Heading2"/>
      </w:pPr>
      <w:bookmarkStart w:id="34" w:name="_457aea3c2d21e5bd10865e10c5041f0b77fb5e8"/>
      <w:r>
        <w:t xml:space="preserve">7. Implementation Amendment — 2026-09-20</w:t>
      </w:r>
    </w:p>
    <w:p>
      <w:pPr>
        <w:pStyle w:val="FirstParagraph"/>
      </w:pPr>
      <w:r>
        <w:t xml:space="preserve">The earlier reconciliation target that described a separate</w:t>
      </w:r>
      <w:r>
        <w:t xml:space="preserve"> </w:t>
      </w:r>
      <w:r>
        <w:rPr>
          <w:rStyle w:val="VerbatimChar"/>
        </w:rPr>
        <w:t xml:space="preserve">PrincipalContext</w:t>
      </w:r>
      <w:r>
        <w:t xml:space="preserve"> </w:t>
      </w:r>
      <w:r>
        <w:t xml:space="preserve">adapter is superseded by the IAM-03 implementation reconciliation.</w:t>
      </w:r>
    </w:p>
    <w:p>
      <w:pPr>
        <w:pStyle w:val="BodyText"/>
      </w:pPr>
      <w:r>
        <w:t xml:space="preserve">The canonical runtime object is</w:t>
      </w:r>
      <w:r>
        <w:t xml:space="preserve"> </w:t>
      </w:r>
      <w:r>
        <w:rPr>
          <w:rStyle w:val="VerbatimChar"/>
        </w:rPr>
        <w:t xml:space="preserve">Principal</w:t>
      </w:r>
      <w:r>
        <w:t xml:space="preserve"> </w:t>
      </w:r>
      <w:r>
        <w:t xml:space="preserve">under</w:t>
      </w:r>
      <w:r>
        <w:t xml:space="preserve"> </w:t>
      </w:r>
      <w:r>
        <w:rPr>
          <w:rStyle w:val="VerbatimChar"/>
        </w:rPr>
        <w:t xml:space="preserve">src/core/contracts/identity/workforce_principal.py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Principal.user_id    = PrincipalId(UUID)</w:t>
      </w:r>
      <w:r>
        <w:br/>
      </w:r>
      <w:r>
        <w:rPr>
          <w:rStyle w:val="VerbatimChar"/>
        </w:rPr>
        <w:t xml:space="preserve">Principal.tenant_id  = UUID</w:t>
      </w:r>
      <w:r>
        <w:br/>
      </w:r>
      <w:r>
        <w:rPr>
          <w:rStyle w:val="VerbatimChar"/>
        </w:rPr>
        <w:t xml:space="preserve">Principal.role       = effective role</w:t>
      </w:r>
      <w:r>
        <w:br/>
      </w:r>
      <w:r>
        <w:rPr>
          <w:rStyle w:val="VerbatimChar"/>
        </w:rPr>
        <w:t xml:space="preserve">PrincipalType        = HUMAN | SERVICE</w:t>
      </w:r>
    </w:p>
    <w:p>
      <w:pPr>
        <w:pStyle w:val="FirstParagraph"/>
      </w:pPr>
      <w:r>
        <w:rPr>
          <w:rStyle w:val="VerbatimChar"/>
        </w:rPr>
        <w:t xml:space="preserve">src/platform/security/authorization/runtime.py</w:t>
      </w:r>
      <w:r>
        <w:t xml:space="preserve"> </w:t>
      </w:r>
      <w:r>
        <w:t xml:space="preserve">consumes this contract and no longer defines its own Principal class.</w:t>
      </w:r>
    </w:p>
    <w:p>
      <w:pPr>
        <w:pStyle w:val="BodyText"/>
      </w:pPr>
      <w:r>
        <w:t xml:space="preserve">The remaining gaps are:</w:t>
      </w:r>
    </w:p>
    <w:p>
      <w:pPr>
        <w:pStyle w:val="SourceCode"/>
      </w:pPr>
      <w:r>
        <w:rPr>
          <w:rStyle w:val="VerbatimChar"/>
        </w:rPr>
        <w:t xml:space="preserve">IAM-04  focused contract/security execution evidence</w:t>
      </w:r>
      <w:r>
        <w:br/>
      </w:r>
      <w:r>
        <w:rPr>
          <w:rStyle w:val="VerbatimChar"/>
        </w:rPr>
        <w:t xml:space="preserve">IAM-05  bounded adoption across actor/audit consumers</w:t>
      </w:r>
      <w:r>
        <w:br/>
      </w:r>
      <w:r>
        <w:rPr>
          <w:rStyle w:val="VerbatimChar"/>
        </w:rPr>
        <w:t xml:space="preserve">service-identity authority</w:t>
      </w:r>
      <w:r>
        <w:br/>
      </w:r>
      <w:r>
        <w:rPr>
          <w:rStyle w:val="VerbatimChar"/>
        </w:rPr>
        <w:t xml:space="preserve">session/assurance canonical runtime authority</w:t>
      </w:r>
      <w:r>
        <w:br/>
      </w:r>
      <w:r>
        <w:rPr>
          <w:rStyle w:val="VerbatimChar"/>
        </w:rPr>
        <w:t xml:space="preserve">actor normalization across audit/event surfaces</w:t>
      </w:r>
    </w:p>
    <w:p>
      <w:pPr>
        <w:pStyle w:val="FirstParagraph"/>
      </w:pPr>
      <w:r>
        <w:t xml:space="preserve">SR-01 is separately governed by</w:t>
      </w:r>
      <w:r>
        <w:t xml:space="preserve"> </w:t>
      </w:r>
      <w:r>
        <w:rPr>
          <w:rStyle w:val="VerbatimChar"/>
        </w:rPr>
        <w:t xml:space="preserve">docs/architecture/SCHEMA_SOURCE_RECONCILIATION_2026-09-20.md</w:t>
      </w:r>
      <w:r>
        <w:t xml:space="preserve"> </w:t>
      </w:r>
      <w:r>
        <w:t xml:space="preserve">and is not conflated with IAM runtime ownership.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WORKFORCE IAM AUTHORITY RECONCILIATION 2026-09-20</dc:title>
  <dc:creator>HISN Platform</dc:creator>
  <cp:keywords>HISN, FCDOS, financial crime, decision operating system</cp:keywords>
  <dcterms:created xsi:type="dcterms:W3CDTF">2026-10-13T12:56:58Z</dcterms:created>
  <dcterms:modified xsi:type="dcterms:W3CDTF">2026-10-13T12:56:58Z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