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d6c4abb2fc240f7c0022494529a77a2d2d6839"/>
      <w:r>
        <w:t xml:space="preserve">HISN — Workforce IAM Principal / Actor Contract</w:t>
      </w:r>
    </w:p>
    <w:p>
      <w:pPr>
        <w:pStyle w:val="Heading2"/>
      </w:pPr>
      <w:bookmarkStart w:id="10" w:name="_03f9f0c7db4441f3178edf804ef6e1febc7bed2"/>
      <w:r>
        <w:t xml:space="preserve">IAM-03 Design + Implementation Reconciliation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AMENDED / CANONICAL IMPLEMENTATION SHAPE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2026-09-20</w:t>
      </w:r>
      <w:r>
        <w:t xml:space="preserve"> </w:t>
      </w:r>
      <w:r>
        <w:rPr>
          <w:b/>
          <w:bCs/>
        </w:rPr>
        <w:t xml:space="preserve">Authority:</w:t>
      </w:r>
      <w:r>
        <w:t xml:space="preserve"> </w:t>
      </w:r>
      <w:r>
        <w:t xml:space="preserve">ADR-015A, ADR-016, ADR-011 bounded shared-kernel governance, IAM-02 consumer inventory, IAM-01 production schema evidence.</w:t>
      </w:r>
    </w:p>
    <w:p>
      <w:pPr>
        <w:pStyle w:val="Heading2"/>
      </w:pPr>
      <w:bookmarkStart w:id="11" w:name="_a4ff4676e9d709123e0dac247aa092b2b714837"/>
      <w:r>
        <w:t xml:space="preserve">1. Design Objective</w:t>
      </w:r>
    </w:p>
    <w:p>
      <w:pPr>
        <w:pStyle w:val="FirstParagraph"/>
      </w:pPr>
      <w:r>
        <w:t xml:space="preserve">Create one canonical runtime principal contract for workforce/service attribution without creating a second identity authority and without replacing Party identity.</w:t>
      </w:r>
    </w:p>
    <w:p>
      <w:pPr>
        <w:pStyle w:val="BodyText"/>
      </w:pPr>
      <w:r>
        <w:t xml:space="preserve">The contract covers:</w:t>
      </w:r>
      <w:r>
        <w:t xml:space="preserve"> </w:t>
      </w:r>
      <w:r>
        <w:t xml:space="preserve">- authenticated workforce/service identity;</w:t>
      </w:r>
      <w:r>
        <w:t xml:space="preserve"> </w:t>
      </w:r>
      <w:r>
        <w:t xml:space="preserve">- tenant binding;</w:t>
      </w:r>
      <w:r>
        <w:t xml:space="preserve"> </w:t>
      </w:r>
      <w:r>
        <w:t xml:space="preserve">- current effective authorization role;</w:t>
      </w:r>
      <w:r>
        <w:t xml:space="preserve"> </w:t>
      </w:r>
      <w:r>
        <w:t xml:space="preserve">- actor class HUMAN or SERVICE;</w:t>
      </w:r>
      <w:r>
        <w:t xml:space="preserve"> </w:t>
      </w:r>
      <w:r>
        <w:t xml:space="preserve">- optional session/security assurance context.</w:t>
      </w:r>
    </w:p>
    <w:p>
      <w:pPr>
        <w:pStyle w:val="BodyText"/>
      </w:pPr>
      <w:r>
        <w:t xml:space="preserve">It remains separate from:</w:t>
      </w:r>
      <w:r>
        <w:t xml:space="preserve"> </w:t>
      </w:r>
      <w:r>
        <w:t xml:space="preserve">- Party identity;</w:t>
      </w:r>
      <w:r>
        <w:t xml:space="preserve"> </w:t>
      </w:r>
      <w:r>
        <w:t xml:space="preserve">- CustomerId;</w:t>
      </w:r>
      <w:r>
        <w:t xml:space="preserve"> </w:t>
      </w:r>
      <w:r>
        <w:t xml:space="preserve">- LegalEntityId;</w:t>
      </w:r>
      <w:r>
        <w:t xml:space="preserve"> </w:t>
      </w:r>
      <w:r>
        <w:t xml:space="preserve">- RuntimeIdentity;</w:t>
      </w:r>
      <w:r>
        <w:t xml:space="preserve"> </w:t>
      </w:r>
      <w:r>
        <w:t xml:space="preserve">- physical database implementation details beyond the identity contract evidence.</w:t>
      </w:r>
    </w:p>
    <w:p>
      <w:pPr>
        <w:pStyle w:val="Heading2"/>
      </w:pPr>
      <w:bookmarkStart w:id="12" w:name="_f72ac7aaf923750b657a1618f6c8627be2111e3"/>
      <w:r>
        <w:t xml:space="preserve">2. Canonical Semantic Model</w:t>
      </w:r>
    </w:p>
    <w:p>
      <w:pPr>
        <w:pStyle w:val="SourceCode"/>
      </w:pPr>
      <w:r>
        <w:rPr>
          <w:rStyle w:val="VerbatimChar"/>
        </w:rPr>
        <w:t xml:space="preserve">Principal</w:t>
      </w:r>
      <w:r>
        <w:br/>
      </w:r>
      <w:r>
        <w:rPr>
          <w:rStyle w:val="VerbatimChar"/>
        </w:rPr>
        <w:t xml:space="preserve">├── user_id              PrincipalId</w:t>
      </w:r>
      <w:r>
        <w:br/>
      </w:r>
      <w:r>
        <w:rPr>
          <w:rStyle w:val="VerbatimChar"/>
        </w:rPr>
        <w:t xml:space="preserve">├── tenant_id            UUID</w:t>
      </w:r>
      <w:r>
        <w:br/>
      </w:r>
      <w:r>
        <w:rPr>
          <w:rStyle w:val="VerbatimChar"/>
        </w:rPr>
        <w:t xml:space="preserve">├── role                 current effective authorization role</w:t>
      </w:r>
      <w:r>
        <w:br/>
      </w:r>
      <w:r>
        <w:rPr>
          <w:rStyle w:val="VerbatimChar"/>
        </w:rPr>
        <w:t xml:space="preserve">├── principal_type       HUMAN | SERVICE</w:t>
      </w:r>
      <w:r>
        <w:br/>
      </w:r>
      <w:r>
        <w:rPr>
          <w:rStyle w:val="VerbatimChar"/>
        </w:rPr>
        <w:t xml:space="preserve">├── session_id           optional</w:t>
      </w:r>
      <w:r>
        <w:br/>
      </w:r>
      <w:r>
        <w:rPr>
          <w:rStyle w:val="VerbatimChar"/>
        </w:rPr>
        <w:t xml:space="preserve">├── assurance_level      optional</w:t>
      </w:r>
      <w:r>
        <w:br/>
      </w:r>
      <w:r>
        <w:rPr>
          <w:rStyle w:val="VerbatimChar"/>
        </w:rPr>
        <w:t xml:space="preserve">└── authentication_context optional</w:t>
      </w:r>
    </w:p>
    <w:p>
      <w:pPr>
        <w:pStyle w:val="FirstParagraph"/>
      </w:pPr>
      <w:r>
        <w:rPr>
          <w:rStyle w:val="VerbatimChar"/>
        </w:rPr>
        <w:t xml:space="preserve">PrincipalId</w:t>
      </w:r>
      <w:r>
        <w:t xml:space="preserve"> </w:t>
      </w:r>
      <w:r>
        <w:t xml:space="preserve">is a typed workforce identity reference. It represents who is authorized to operate HISN, not the customer/party being evaluated.</w:t>
      </w:r>
    </w:p>
    <w:p>
      <w:pPr>
        <w:pStyle w:val="BodyText"/>
      </w:pPr>
      <w:r>
        <w:rPr>
          <w:rStyle w:val="VerbatimChar"/>
        </w:rPr>
        <w:t xml:space="preserve">PrincipalType</w:t>
      </w:r>
      <w:r>
        <w:t xml:space="preserve"> </w:t>
      </w:r>
      <w:r>
        <w:t xml:space="preserve">distinguishes HUMAN and SERVICE actors. A service actor must never be fabricated as a human session.</w:t>
      </w:r>
    </w:p>
    <w:p>
      <w:pPr>
        <w:pStyle w:val="BodyText"/>
      </w:pPr>
      <w:r>
        <w:t xml:space="preserve">Request-scoped</w:t>
      </w:r>
      <w:r>
        <w:t xml:space="preserve"> </w:t>
      </w:r>
      <w:r>
        <w:rPr>
          <w:rStyle w:val="VerbatimChar"/>
        </w:rPr>
        <w:t xml:space="preserve">correlation_id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request_id</w:t>
      </w:r>
      <w:r>
        <w:t xml:space="preserve"> </w:t>
      </w:r>
      <w:r>
        <w:t xml:space="preserve">remain outside the Principal identity object. Authorization permissions remain policy-derived rather than duplicated as mutable state inside Principal.</w:t>
      </w:r>
    </w:p>
    <w:p>
      <w:pPr>
        <w:pStyle w:val="Heading2"/>
      </w:pPr>
      <w:bookmarkStart w:id="13" w:name="_cf69241e6b095dca869dbfbe64feaee9b4cbbc8"/>
      <w:r>
        <w:t xml:space="preserve">3. Canonical Ownership</w:t>
      </w:r>
    </w:p>
    <w:p>
      <w:pPr>
        <w:pStyle w:val="SourceCode"/>
      </w:pPr>
      <w:r>
        <w:rPr>
          <w:rStyle w:val="VerbatimChar"/>
        </w:rPr>
        <w:t xml:space="preserve">Semantic owner:</w:t>
      </w:r>
      <w:r>
        <w:br/>
      </w:r>
      <w:r>
        <w:rPr>
          <w:rStyle w:val="VerbatimChar"/>
        </w:rPr>
        <w:t xml:space="preserve">src/core/contracts/identity/workforce_principal.py</w:t>
      </w:r>
      <w:r>
        <w:br/>
      </w:r>
      <w:r>
        <w:br/>
      </w:r>
      <w:r>
        <w:rPr>
          <w:rStyle w:val="VerbatimChar"/>
        </w:rPr>
        <w:t xml:space="preserve">Runtime consumer:</w:t>
      </w:r>
      <w:r>
        <w:br/>
      </w:r>
      <w:r>
        <w:rPr>
          <w:rStyle w:val="VerbatimChar"/>
        </w:rPr>
        <w:t xml:space="preserve">src/platform/security/authorization/runtime.py</w:t>
      </w:r>
      <w:r>
        <w:br/>
      </w:r>
      <w:r>
        <w:br/>
      </w:r>
      <w:r>
        <w:rPr>
          <w:rStyle w:val="VerbatimChar"/>
        </w:rPr>
        <w:t xml:space="preserve">Authentication producer:</w:t>
      </w:r>
      <w:r>
        <w:br/>
      </w:r>
      <w:r>
        <w:rPr>
          <w:rStyle w:val="VerbatimChar"/>
        </w:rPr>
        <w:t xml:space="preserve">src/infrastructure/auth.py</w:t>
      </w:r>
    </w:p>
    <w:p>
      <w:pPr>
        <w:pStyle w:val="FirstParagraph"/>
      </w:pPr>
      <w:r>
        <w:t xml:space="preserve">There is one Principal contract. No permanent</w:t>
      </w:r>
      <w:r>
        <w:t xml:space="preserve"> </w:t>
      </w:r>
      <w:r>
        <w:rPr>
          <w:rStyle w:val="VerbatimChar"/>
        </w:rPr>
        <w:t xml:space="preserve">PrincipalContext</w:t>
      </w:r>
      <w:r>
        <w:t xml:space="preserve"> </w:t>
      </w:r>
      <w:r>
        <w:t xml:space="preserve">compatibility layer is introduced.</w:t>
      </w:r>
    </w:p>
    <w:p>
      <w:pPr>
        <w:pStyle w:val="Heading2"/>
      </w:pPr>
      <w:bookmarkStart w:id="14" w:name="_e45c9c46e99c10febab5b5646d5745fa26364fa"/>
      <w:r>
        <w:t xml:space="preserve">4. Canonicalization Rule</w:t>
      </w:r>
    </w:p>
    <w:p>
      <w:pPr>
        <w:pStyle w:val="FirstParagraph"/>
      </w:pPr>
      <w:r>
        <w:t xml:space="preserve">The existing runtime</w:t>
      </w:r>
      <w:r>
        <w:t xml:space="preserve"> </w:t>
      </w:r>
      <w:r>
        <w:rPr>
          <w:rStyle w:val="VerbatimChar"/>
        </w:rPr>
        <w:t xml:space="preserve">Principal</w:t>
      </w:r>
      <w:r>
        <w:t xml:space="preserve"> </w:t>
      </w:r>
      <w:r>
        <w:t xml:space="preserve">concept is canonicalized in place rather than wrapped by a second authority.</w:t>
      </w:r>
    </w:p>
    <w:p>
      <w:pPr>
        <w:pStyle w:val="SourceCode"/>
      </w:pPr>
      <w:r>
        <w:rPr>
          <w:rStyle w:val="VerbatimChar"/>
        </w:rPr>
        <w:t xml:space="preserve">Existing concept</w:t>
      </w:r>
      <w:r>
        <w:br/>
      </w:r>
      <w:r>
        <w:rPr>
          <w:rStyle w:val="VerbatimChar"/>
        </w:rPr>
        <w:t xml:space="preserve">Principal(user_id, tenant_id, role)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Canonical contract</w:t>
      </w:r>
      <w:r>
        <w:br/>
      </w:r>
      <w:r>
        <w:rPr>
          <w:rStyle w:val="VerbatimChar"/>
        </w:rPr>
        <w:t xml:space="preserve">Principal(user_id: PrincipalId, tenant_id: UUID, ...)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Runtime authorization</w:t>
      </w:r>
      <w:r>
        <w:br/>
      </w:r>
      <w:r>
        <w:rPr>
          <w:rStyle w:val="VerbatimChar"/>
        </w:rPr>
        <w:t xml:space="preserve">src/platform/security/authorization/runtime.py</w:t>
      </w:r>
    </w:p>
    <w:p>
      <w:pPr>
        <w:pStyle w:val="FirstParagraph"/>
      </w:pPr>
      <w:r>
        <w:t xml:space="preserve">The existing</w:t>
      </w:r>
      <w:r>
        <w:t xml:space="preserve"> </w:t>
      </w:r>
      <w:r>
        <w:rPr>
          <w:rStyle w:val="VerbatimChar"/>
        </w:rPr>
        <w:t xml:space="preserve">user_id</w:t>
      </w:r>
      <w:r>
        <w:t xml:space="preserve"> </w:t>
      </w:r>
      <w:r>
        <w:t xml:space="preserve">field name is preserved for consumer compatibility. Its semantic type is strengthened to</w:t>
      </w:r>
      <w:r>
        <w:t xml:space="preserve"> </w:t>
      </w:r>
      <w:r>
        <w:rPr>
          <w:rStyle w:val="VerbatimChar"/>
        </w:rPr>
        <w:t xml:space="preserve">PrincipalId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PrincipalId</w:t>
      </w:r>
      <w:r>
        <w:t xml:space="preserve"> </w:t>
      </w:r>
      <w:r>
        <w:t xml:space="preserve">is backed by UUID because direct production PostgreSQL evidence established</w:t>
      </w:r>
      <w:r>
        <w:t xml:space="preserve"> </w:t>
      </w:r>
      <w:r>
        <w:rPr>
          <w:rStyle w:val="VerbatimChar"/>
        </w:rPr>
        <w:t xml:space="preserve">hisn.users.id = UUID</w:t>
      </w:r>
      <w:r>
        <w:t xml:space="preserve">.</w:t>
      </w:r>
    </w:p>
    <w:p>
      <w:pPr>
        <w:pStyle w:val="BodyText"/>
      </w:pPr>
      <w:r>
        <w:t xml:space="preserve">No PartyId substitution is authorized.</w:t>
      </w:r>
    </w:p>
    <w:p>
      <w:pPr>
        <w:pStyle w:val="Heading2"/>
      </w:pPr>
      <w:bookmarkStart w:id="15" w:name="_679f85b5a4bbfaeb6e1aff56990e8f06c1b0b7c"/>
      <w:r>
        <w:t xml:space="preserve">5. Relationship to Runtime Provenance</w:t>
      </w:r>
    </w:p>
    <w:p>
      <w:pPr>
        <w:pStyle w:val="SourceCode"/>
      </w:pPr>
      <w:r>
        <w:rPr>
          <w:rStyle w:val="VerbatimChar"/>
        </w:rPr>
        <w:t xml:space="preserve">Principal</w:t>
      </w:r>
      <w:r>
        <w:br/>
      </w:r>
      <w:r>
        <w:rPr>
          <w:rStyle w:val="VerbatimChar"/>
        </w:rPr>
        <w:t xml:space="preserve">   +</w:t>
      </w:r>
      <w:r>
        <w:br/>
      </w:r>
      <w:r>
        <w:rPr>
          <w:rStyle w:val="VerbatimChar"/>
        </w:rPr>
        <w:t xml:space="preserve">RuntimeIdentity</w:t>
      </w:r>
      <w:r>
        <w:br/>
      </w:r>
      <w:r>
        <w:rPr>
          <w:rStyle w:val="VerbatimChar"/>
        </w:rPr>
        <w:t xml:space="preserve">   =</w:t>
      </w:r>
      <w:r>
        <w:br/>
      </w:r>
      <w:r>
        <w:rPr>
          <w:rStyle w:val="VerbatimChar"/>
        </w:rPr>
        <w:t xml:space="preserve">complete workforce + software execution provenance</w:t>
      </w:r>
    </w:p>
    <w:p>
      <w:pPr>
        <w:pStyle w:val="FirstParagraph"/>
      </w:pPr>
      <w:r>
        <w:rPr>
          <w:rStyle w:val="VerbatimChar"/>
        </w:rPr>
        <w:t xml:space="preserve">RuntimeIdentity</w:t>
      </w:r>
      <w:r>
        <w:t xml:space="preserve"> </w:t>
      </w:r>
      <w:r>
        <w:t xml:space="preserve">remains software/runtime provenance and must not be reused as an actor identity.</w:t>
      </w:r>
    </w:p>
    <w:p>
      <w:pPr>
        <w:pStyle w:val="Heading2"/>
      </w:pPr>
      <w:bookmarkStart w:id="16" w:name="_206f6266bef8ec7411363d1040b38cb65219bc6"/>
      <w:r>
        <w:t xml:space="preserve">6. Audit Direction</w:t>
      </w:r>
    </w:p>
    <w:p>
      <w:pPr>
        <w:pStyle w:val="FirstParagraph"/>
      </w:pPr>
      <w:r>
        <w:t xml:space="preserve">Existing audit surfaces may continue storing their historical string representation during bounded migration.</w:t>
      </w:r>
    </w:p>
    <w:p>
      <w:pPr>
        <w:pStyle w:val="BodyText"/>
      </w:pPr>
      <w:r>
        <w:t xml:space="preserve">Canonical semantic direction:</w:t>
      </w:r>
    </w:p>
    <w:p>
      <w:pPr>
        <w:pStyle w:val="SourceCode"/>
      </w:pPr>
      <w:r>
        <w:rPr>
          <w:rStyle w:val="VerbatimChar"/>
        </w:rPr>
        <w:t xml:space="preserve">actor.principal_id</w:t>
      </w:r>
      <w:r>
        <w:br/>
      </w:r>
      <w:r>
        <w:rPr>
          <w:rStyle w:val="VerbatimChar"/>
        </w:rPr>
        <w:t xml:space="preserve">actor.principal_type</w:t>
      </w:r>
      <w:r>
        <w:br/>
      </w:r>
      <w:r>
        <w:rPr>
          <w:rStyle w:val="VerbatimChar"/>
        </w:rPr>
        <w:t xml:space="preserve">session_id           optional</w:t>
      </w:r>
      <w:r>
        <w:br/>
      </w:r>
      <w:r>
        <w:rPr>
          <w:rStyle w:val="VerbatimChar"/>
        </w:rPr>
        <w:t xml:space="preserve">assurance_level      optional</w:t>
      </w:r>
      <w:r>
        <w:br/>
      </w:r>
      <w:r>
        <w:rPr>
          <w:rStyle w:val="VerbatimChar"/>
        </w:rPr>
        <w:t xml:space="preserve">authentication_context optional</w:t>
      </w:r>
    </w:p>
    <w:p>
      <w:pPr>
        <w:pStyle w:val="FirstParagraph"/>
      </w:pPr>
      <w:r>
        <w:t xml:space="preserve">Mandatory attribution actions must fail closed when the real principal is unavailable.</w:t>
      </w:r>
    </w:p>
    <w:p>
      <w:pPr>
        <w:pStyle w:val="Heading2"/>
      </w:pPr>
      <w:bookmarkStart w:id="17" w:name="_4a1305512e330328076414808ab4d5d71793b2f"/>
      <w:r>
        <w:t xml:space="preserve">7. Approval Direction</w:t>
      </w:r>
    </w:p>
    <w:p>
      <w:pPr>
        <w:pStyle w:val="FirstParagraph"/>
      </w:pPr>
      <w:r>
        <w:t xml:space="preserve">Current persistence may continue using:</w:t>
      </w:r>
    </w:p>
    <w:p>
      <w:pPr>
        <w:pStyle w:val="SourceCode"/>
      </w:pPr>
      <w:r>
        <w:rPr>
          <w:rStyle w:val="VerbatimChar"/>
        </w:rPr>
        <w:t xml:space="preserve">maker_id: str</w:t>
      </w:r>
      <w:r>
        <w:br/>
      </w:r>
      <w:r>
        <w:rPr>
          <w:rStyle w:val="VerbatimChar"/>
        </w:rPr>
        <w:t xml:space="preserve">checker_id: str | null</w:t>
      </w:r>
    </w:p>
    <w:p>
      <w:pPr>
        <w:pStyle w:val="FirstParagraph"/>
      </w:pPr>
      <w:r>
        <w:t xml:space="preserve">Semantic ownership is workforce Principal identity.</w:t>
      </w:r>
    </w:p>
    <w:p>
      <w:pPr>
        <w:pStyle w:val="BodyText"/>
      </w:pPr>
      <w:r>
        <w:t xml:space="preserve">The four-eyes invariant remains:</w:t>
      </w:r>
    </w:p>
    <w:p>
      <w:pPr>
        <w:pStyle w:val="SourceCode"/>
      </w:pPr>
      <w:r>
        <w:rPr>
          <w:rStyle w:val="VerbatimChar"/>
        </w:rPr>
        <w:t xml:space="preserve">maker.principal_id != checker.principal_id</w:t>
      </w:r>
    </w:p>
    <w:p>
      <w:pPr>
        <w:pStyle w:val="FirstParagraph"/>
      </w:pPr>
      <w:r>
        <w:t xml:space="preserve">The generic DomainEvent base remains unchanged. Business events own actor requirements only where actor attribution is semantically required.</w:t>
      </w:r>
    </w:p>
    <w:p>
      <w:pPr>
        <w:pStyle w:val="Heading2"/>
      </w:pPr>
      <w:bookmarkStart w:id="18" w:name="_78937f00667999419e0f83b8aa148295141786f"/>
      <w:r>
        <w:t xml:space="preserve">8. Security Invariants</w:t>
      </w:r>
    </w:p>
    <w:p>
      <w:pPr>
        <w:pStyle w:val="Compact"/>
        <w:numPr>
          <w:ilvl w:val="0"/>
          <w:numId w:val="1001"/>
        </w:numPr>
      </w:pPr>
      <w:r>
        <w:t xml:space="preserve">Party identity and workforce identity never share authority.</w:t>
      </w:r>
    </w:p>
    <w:p>
      <w:pPr>
        <w:pStyle w:val="Compact"/>
        <w:numPr>
          <w:ilvl w:val="0"/>
          <w:numId w:val="1001"/>
        </w:numPr>
      </w:pPr>
      <w:r>
        <w:t xml:space="preserve">Authentication never implies authorization.</w:t>
      </w:r>
    </w:p>
    <w:p>
      <w:pPr>
        <w:pStyle w:val="Compact"/>
        <w:numPr>
          <w:ilvl w:val="0"/>
          <w:numId w:val="1001"/>
        </w:numPr>
      </w:pPr>
      <w:r>
        <w:t xml:space="preserve">Tenant context remains immutable for a governed operation.</w:t>
      </w:r>
    </w:p>
    <w:p>
      <w:pPr>
        <w:pStyle w:val="Compact"/>
        <w:numPr>
          <w:ilvl w:val="0"/>
          <w:numId w:val="1001"/>
        </w:numPr>
      </w:pPr>
      <w:r>
        <w:t xml:space="preserve">HUMAN and SERVICE actors are distinguishable.</w:t>
      </w:r>
    </w:p>
    <w:p>
      <w:pPr>
        <w:pStyle w:val="Compact"/>
        <w:numPr>
          <w:ilvl w:val="0"/>
          <w:numId w:val="1001"/>
        </w:numPr>
      </w:pPr>
      <w:r>
        <w:t xml:space="preserve">Self-approval is impossible where four-eyes applies.</w:t>
      </w:r>
    </w:p>
    <w:p>
      <w:pPr>
        <w:pStyle w:val="Compact"/>
        <w:numPr>
          <w:ilvl w:val="0"/>
          <w:numId w:val="1001"/>
        </w:numPr>
      </w:pPr>
      <w:r>
        <w:t xml:space="preserve">Privileged actions can require stronger assurance.</w:t>
      </w:r>
    </w:p>
    <w:p>
      <w:pPr>
        <w:pStyle w:val="Compact"/>
        <w:numPr>
          <w:ilvl w:val="0"/>
          <w:numId w:val="1001"/>
        </w:numPr>
      </w:pPr>
      <w:r>
        <w:t xml:space="preserve">Real actor attribution cannot be downgraded to generic system provenance when a real principal exists.</w:t>
      </w:r>
    </w:p>
    <w:p>
      <w:pPr>
        <w:pStyle w:val="Compact"/>
        <w:numPr>
          <w:ilvl w:val="0"/>
          <w:numId w:val="1001"/>
        </w:numPr>
      </w:pPr>
      <w:r>
        <w:t xml:space="preserve">Missing mandatory actor context fails closed.</w:t>
      </w:r>
    </w:p>
    <w:p>
      <w:pPr>
        <w:pStyle w:val="Compact"/>
        <w:numPr>
          <w:ilvl w:val="0"/>
          <w:numId w:val="1001"/>
        </w:numPr>
      </w:pPr>
      <w:r>
        <w:t xml:space="preserve">Service actions remain attributable without fabricating a human session.</w:t>
      </w:r>
    </w:p>
    <w:p>
      <w:pPr>
        <w:pStyle w:val="Compact"/>
        <w:numPr>
          <w:ilvl w:val="0"/>
          <w:numId w:val="1001"/>
        </w:numPr>
      </w:pPr>
      <w:r>
        <w:t xml:space="preserve">Cross-tenant principal use fails closed.</w:t>
      </w:r>
    </w:p>
    <w:p>
      <w:pPr>
        <w:pStyle w:val="Heading2"/>
      </w:pPr>
      <w:bookmarkStart w:id="19" w:name="_e7663493eb2ea0634bc2934ec195dd12710281b"/>
      <w:r>
        <w:t xml:space="preserve">9. Implementation Sequence</w:t>
      </w:r>
    </w:p>
    <w:p>
      <w:pPr>
        <w:pStyle w:val="SourceCode"/>
      </w:pPr>
      <w:r>
        <w:rPr>
          <w:rStyle w:val="VerbatimChar"/>
        </w:rPr>
        <w:t xml:space="preserve">IAM-01  direct live DB metadata                 [CLOSED]</w:t>
      </w:r>
      <w:r>
        <w:br/>
      </w:r>
      <w:r>
        <w:rPr>
          <w:rStyle w:val="VerbatimChar"/>
        </w:rPr>
        <w:t xml:space="preserve">SR-01   user identity schema reconciliation     [IMPLEMENTED / ASSURANCE OPEN]</w:t>
      </w:r>
      <w:r>
        <w:br/>
      </w:r>
      <w:r>
        <w:rPr>
          <w:rStyle w:val="VerbatimChar"/>
        </w:rPr>
        <w:t xml:space="preserve">IAM-02  consumer inventory                       [CLOSED]</w:t>
      </w:r>
      <w:r>
        <w:br/>
      </w:r>
      <w:r>
        <w:rPr>
          <w:rStyle w:val="VerbatimChar"/>
        </w:rPr>
        <w:t xml:space="preserve">IAM-03  canonical Principal contract             [AMENDED / IMPLEMENTED]</w:t>
      </w:r>
      <w:r>
        <w:br/>
      </w:r>
      <w:r>
        <w:rPr>
          <w:rStyle w:val="VerbatimChar"/>
        </w:rPr>
        <w:t xml:space="preserve">IAM-04  focused contract + security tests        [IN PROGRESS]</w:t>
      </w:r>
      <w:r>
        <w:br/>
      </w:r>
      <w:r>
        <w:rPr>
          <w:rStyle w:val="VerbatimChar"/>
        </w:rPr>
        <w:t xml:space="preserve">IAM-05  bounded consumer adoption                [PENDING IAM-04]</w:t>
      </w:r>
      <w:r>
        <w:br/>
      </w:r>
      <w:r>
        <w:rPr>
          <w:rStyle w:val="VerbatimChar"/>
        </w:rPr>
        <w:t xml:space="preserve">IAM-06  full regression + Railway                [PENDING IAM-05]</w:t>
      </w:r>
    </w:p>
    <w:p>
      <w:pPr>
        <w:pStyle w:val="FirstParagraph"/>
      </w:pPr>
      <w:r>
        <w:t xml:space="preserve">IAM-05 is a bounded consumer migration from the canonical Principal contract. It is not an adapter stack and not a global rewrite.</w:t>
      </w:r>
    </w:p>
    <w:p>
      <w:pPr>
        <w:pStyle w:val="Heading2"/>
      </w:pPr>
      <w:bookmarkStart w:id="20" w:name="_2ba3a64b26bb521e01d592bb943d7e663b97572"/>
      <w:r>
        <w:t xml:space="preserve">10. Explicit Non-Goals</w:t>
      </w:r>
    </w:p>
    <w:p>
      <w:pPr>
        <w:pStyle w:val="FirstParagraph"/>
      </w:pPr>
      <w:r>
        <w:t xml:space="preserve">This contract does not authorize:</w:t>
      </w:r>
      <w:r>
        <w:t xml:space="preserve"> </w:t>
      </w:r>
      <w:r>
        <w:t xml:space="preserve">- Party runtime adoption;</w:t>
      </w:r>
      <w:r>
        <w:t xml:space="preserve"> </w:t>
      </w:r>
      <w:r>
        <w:t xml:space="preserve">- CustomerId replacement;</w:t>
      </w:r>
      <w:r>
        <w:t xml:space="preserve"> </w:t>
      </w:r>
      <w:r>
        <w:t xml:space="preserve">- JWT replacement;</w:t>
      </w:r>
      <w:r>
        <w:t xml:space="preserve"> </w:t>
      </w:r>
      <w:r>
        <w:t xml:space="preserve">- MFA implementation by this contract alone;</w:t>
      </w:r>
      <w:r>
        <w:t xml:space="preserve"> </w:t>
      </w:r>
      <w:r>
        <w:t xml:space="preserve">- microservice extraction;</w:t>
      </w:r>
      <w:r>
        <w:t xml:space="preserve"> </w:t>
      </w:r>
      <w:r>
        <w:t xml:space="preserve">- directory-only security package moves;</w:t>
      </w:r>
      <w:r>
        <w:t xml:space="preserve"> </w:t>
      </w:r>
      <w:r>
        <w:t xml:space="preserve">- actor fields on every generic DomainEvent;</w:t>
      </w:r>
      <w:r>
        <w:t xml:space="preserve"> </w:t>
      </w:r>
      <w:r>
        <w:t xml:space="preserve">- deletion of historical audit models;</w:t>
      </w:r>
      <w:r>
        <w:t xml:space="preserve"> </w:t>
      </w:r>
      <w:r>
        <w:t xml:space="preserve">- IAM-driven database migration outside SR-01.</w:t>
      </w:r>
    </w:p>
    <w:p>
      <w:pPr>
        <w:pStyle w:val="Heading2"/>
      </w:pPr>
      <w:bookmarkStart w:id="21" w:name="_a44f72fc78b707438545969532474e043bdad7b"/>
      <w:r>
        <w:t xml:space="preserve">11. Governance Consistency</w:t>
      </w:r>
    </w:p>
    <w:p>
      <w:pPr>
        <w:pStyle w:val="FirstParagraph"/>
      </w:pPr>
      <w:r>
        <w:t xml:space="preserve">The previous design-only wording that proposed a separate permanent</w:t>
      </w:r>
      <w:r>
        <w:t xml:space="preserve"> </w:t>
      </w:r>
      <w:r>
        <w:rPr>
          <w:rStyle w:val="VerbatimChar"/>
        </w:rPr>
        <w:t xml:space="preserve">PrincipalContext</w:t>
      </w:r>
      <w:r>
        <w:t xml:space="preserve"> </w:t>
      </w:r>
      <w:r>
        <w:t xml:space="preserve">adapter is superseded by this implementation reconciliation.</w:t>
      </w:r>
    </w:p>
    <w:p>
      <w:pPr>
        <w:pStyle w:val="BodyText"/>
      </w:pPr>
      <w:r>
        <w:t xml:space="preserve">This is not a new identity concept:</w:t>
      </w:r>
      <w:r>
        <w:t xml:space="preserve"> </w:t>
      </w:r>
      <w:r>
        <w:rPr>
          <w:rStyle w:val="VerbatimChar"/>
        </w:rPr>
        <w:t xml:space="preserve">Principal</w:t>
      </w:r>
      <w:r>
        <w:t xml:space="preserve"> </w:t>
      </w:r>
      <w:r>
        <w:t xml:space="preserve">already existed in the live runtime. The change establishes one canonical ownership boundary and removes compositional duplication, consistent with the shared-kernel governance pattern used in ADR-011 / Stage 03B.</w:t>
      </w:r>
    </w:p>
    <w:p>
      <w:pPr>
        <w:pStyle w:val="Heading2"/>
      </w:pPr>
      <w:bookmarkStart w:id="22" w:name="_status"/>
      <w:r>
        <w:t xml:space="preserve">12. Status</w:t>
      </w:r>
    </w:p>
    <w:p>
      <w:pPr>
        <w:pStyle w:val="FirstParagraph"/>
      </w:pPr>
      <w:r>
        <w:rPr>
          <w:b/>
          <w:bCs/>
        </w:rPr>
        <w:t xml:space="preserve">IAM-03 = AMENDED / CANONICAL IMPLEMENTATION SHAPE VERIFIED.</w:t>
      </w:r>
    </w:p>
    <w:p>
      <w:pPr>
        <w:pStyle w:val="BodyText"/>
      </w:pPr>
      <w:r>
        <w:t xml:space="preserve">Current evidence: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src/core/contracts/identity/workforce_principal.py</w:t>
      </w:r>
      <w:r>
        <w:t xml:space="preserve"> </w:t>
      </w:r>
      <w:r>
        <w:t xml:space="preserve">is the semantic owner;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src/platform/security/authorization/runtime.py</w:t>
      </w:r>
      <w:r>
        <w:t xml:space="preserve"> </w:t>
      </w:r>
      <w:r>
        <w:t xml:space="preserve">is a consumer;</w:t>
      </w:r>
      <w:r>
        <w:t xml:space="preserve"> </w:t>
      </w:r>
      <w:r>
        <w:t xml:space="preserve">- Production</w:t>
      </w:r>
      <w:r>
        <w:t xml:space="preserve"> </w:t>
      </w:r>
      <w:r>
        <w:rPr>
          <w:rStyle w:val="VerbatimChar"/>
        </w:rPr>
        <w:t xml:space="preserve">hisn.users.id</w:t>
      </w:r>
      <w:r>
        <w:t xml:space="preserve"> </w:t>
      </w:r>
      <w:r>
        <w:t xml:space="preserve">is UUID;</w:t>
      </w:r>
      <w:r>
        <w:t xml:space="preserve"> </w:t>
      </w:r>
      <w:r>
        <w:t xml:space="preserve">- JWT subject mapping now constructs typed</w:t>
      </w:r>
      <w:r>
        <w:t xml:space="preserve"> </w:t>
      </w:r>
      <w:r>
        <w:rPr>
          <w:rStyle w:val="VerbatimChar"/>
        </w:rPr>
        <w:t xml:space="preserve">PrincipalId</w:t>
      </w:r>
      <w:r>
        <w:t xml:space="preserve">;</w:t>
      </w:r>
      <w:r>
        <w:t xml:space="preserve"> </w:t>
      </w:r>
      <w:r>
        <w:t xml:space="preserve">- IAM-04 focused contract/security tests are the active closure gate.</w:t>
      </w:r>
    </w:p>
    <w:p>
      <w:pPr>
        <w:pStyle w:val="BodyText"/>
      </w:pPr>
      <w:r>
        <w:t xml:space="preserve">The separate production/clean-install schema issue is governed by</w:t>
      </w:r>
      <w:r>
        <w:t xml:space="preserve"> </w:t>
      </w:r>
      <w:r>
        <w:rPr>
          <w:rStyle w:val="VerbatimChar"/>
        </w:rPr>
        <w:t xml:space="preserve">docs/architecture/SCHEMA_SOURCE_RECONCILIATION_2026-09-20.md</w:t>
      </w:r>
      <w:r>
        <w:t xml:space="preserve"> </w:t>
      </w:r>
      <w:r>
        <w:t xml:space="preserve">(SR-01).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WORKFORCE IAM PRINCIPAL CONTRACT TARGET 2026-09-20</dc:title>
  <dc:creator>HISN Platform</dc:creator>
  <cp:keywords>HISN, FCDOS, financial crime, decision operating system</cp:keywords>
  <dcterms:created xsi:type="dcterms:W3CDTF">2026-10-13T12:56:59Z</dcterms:created>
  <dcterms:modified xsi:type="dcterms:W3CDTF">2026-10-13T12:56:59Z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