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01_AML_KYC_Vendor_Policy</w:t>
      </w:r>
    </w:p>
    <w:p>
      <w:pPr>
        <w:pStyle w:val="Heading1"/>
      </w:pPr>
      <w:bookmarkStart w:id="19" w:name="_4d84113e30381640c31f28176484278af48d657"/>
      <w:r>
        <w:t xml:space="preserve">AML/KYC Vendor Policy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MLRO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Framework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f3d0f1cc916325ee18f97ce3e72745a510564f"/>
      <w:r>
        <w:t xml:space="preserve">Document Control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AML/KYC Vendor Policy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October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MLRO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of Preparation</w:t>
            </w:r>
          </w:p>
        </w:tc>
        <w:tc>
          <w:tcPr/>
          <w:p>
            <w:pPr>
              <w:pStyle w:val="Compact"/>
            </w:pPr>
            <w:r>
              <w:t xml:space="preserve">SAMA AML/CFT Rules, FATF Recommendations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No independent compliance review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purpose"/>
      <w:r>
        <w:t xml:space="preserve">1. Purpose</w:t>
      </w:r>
    </w:p>
    <w:p>
      <w:pPr>
        <w:pStyle w:val="FirstParagraph"/>
      </w:pPr>
      <w:r>
        <w:t xml:space="preserve">This policy sets out how HISN manages its own AML/KYC obligations as a vendor to regulated financial institutions.</w:t>
      </w:r>
    </w:p>
    <w:p>
      <w:pPr>
        <w:pStyle w:val="BodyText"/>
      </w:pPr>
      <w:r>
        <w:rPr>
          <w:b/>
          <w:bCs/>
        </w:rPr>
        <w:t xml:space="preserve">HISN is not a regulated financial institution. HISN is a technology provider.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scope"/>
      <w:r>
        <w:t xml:space="preserve">2. Scope</w:t>
      </w:r>
    </w:p>
    <w:p>
      <w:pPr>
        <w:pStyle w:val="FirstParagraph"/>
      </w:pPr>
      <w:r>
        <w:t xml:space="preserve">Applies to:</w:t>
      </w:r>
    </w:p>
    <w:p>
      <w:pPr>
        <w:pStyle w:val="Compact"/>
        <w:numPr>
          <w:ilvl w:val="0"/>
          <w:numId w:val="1001"/>
        </w:numPr>
      </w:pPr>
      <w:r>
        <w:t xml:space="preserve">Customers (financial institutions)</w:t>
      </w:r>
    </w:p>
    <w:p>
      <w:pPr>
        <w:pStyle w:val="Compact"/>
        <w:numPr>
          <w:ilvl w:val="0"/>
          <w:numId w:val="1001"/>
        </w:numPr>
      </w:pPr>
      <w:r>
        <w:t xml:space="preserve">Vendors and suppliers</w:t>
      </w:r>
    </w:p>
    <w:p>
      <w:pPr>
        <w:pStyle w:val="Compact"/>
        <w:numPr>
          <w:ilvl w:val="0"/>
          <w:numId w:val="1001"/>
        </w:numPr>
      </w:pPr>
      <w:r>
        <w:t xml:space="preserve">Partners</w:t>
      </w:r>
    </w:p>
    <w:p>
      <w:pPr>
        <w:pStyle w:val="Compact"/>
        <w:numPr>
          <w:ilvl w:val="0"/>
          <w:numId w:val="1001"/>
        </w:numPr>
      </w:pPr>
      <w:r>
        <w:t xml:space="preserve">Employees (in relevant roles)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11bcd4d55335210dc0ba13c7629ac051929a7b2"/>
      <w:r>
        <w:t xml:space="preserve">3. Customer Due Diligence</w:t>
      </w:r>
    </w:p>
    <w:p>
      <w:pPr>
        <w:pStyle w:val="FirstParagraph"/>
      </w:pPr>
      <w:r>
        <w:t xml:space="preserve">Before onboarding any customer: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Requirement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Identification</w:t>
            </w:r>
          </w:p>
        </w:tc>
        <w:tc>
          <w:tcPr/>
          <w:p>
            <w:pPr>
              <w:pStyle w:val="Compact"/>
            </w:pPr>
            <w:r>
              <w:t xml:space="preserve">Legal name, registration 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Verification</w:t>
            </w:r>
          </w:p>
        </w:tc>
        <w:tc>
          <w:tcPr/>
          <w:p>
            <w:pPr>
              <w:pStyle w:val="Compact"/>
            </w:pPr>
            <w:r>
              <w:t xml:space="preserve">Regulatory license verification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Ownership</w:t>
            </w:r>
          </w:p>
        </w:tc>
        <w:tc>
          <w:tcPr/>
          <w:p>
            <w:pPr>
              <w:pStyle w:val="Compact"/>
            </w:pPr>
            <w:r>
              <w:t xml:space="preserve">UBO identification (&gt;25%)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Rating</w:t>
            </w:r>
          </w:p>
        </w:tc>
        <w:tc>
          <w:tcPr/>
          <w:p>
            <w:pPr>
              <w:pStyle w:val="Compact"/>
            </w:pPr>
            <w:r>
              <w:t xml:space="preserve">Low / Medium / 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Screening</w:t>
            </w:r>
          </w:p>
        </w:tc>
        <w:tc>
          <w:tcPr/>
          <w:p>
            <w:pPr>
              <w:pStyle w:val="Compact"/>
            </w:pPr>
            <w:r>
              <w:t xml:space="preserve">Sanctions, PEP, adverse media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181472a71b74cc61637452baf9aafa8519f5de4"/>
      <w:r>
        <w:t xml:space="preserve">4. Vendor Due Diligence</w:t>
      </w:r>
    </w:p>
    <w:p>
      <w:pPr>
        <w:pStyle w:val="FirstParagraph"/>
      </w:pPr>
      <w:r>
        <w:t xml:space="preserve">Before onboarding vendors: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Requirement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Identification</w:t>
            </w:r>
          </w:p>
        </w:tc>
        <w:tc>
          <w:tcPr/>
          <w:p>
            <w:pPr>
              <w:pStyle w:val="Compact"/>
            </w:pPr>
            <w:r>
              <w:t xml:space="preserve">Legal name, registration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Rating</w:t>
            </w:r>
          </w:p>
        </w:tc>
        <w:tc>
          <w:tcPr/>
          <w:p>
            <w:pPr>
              <w:pStyle w:val="Compact"/>
            </w:pPr>
            <w:r>
              <w:t xml:space="preserve">Based on service criticality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Screening</w:t>
            </w:r>
          </w:p>
        </w:tc>
        <w:tc>
          <w:tcPr/>
          <w:p>
            <w:pPr>
              <w:pStyle w:val="Compact"/>
            </w:pPr>
            <w:r>
              <w:t xml:space="preserve">Sanctions + PEP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Contract</w:t>
            </w:r>
          </w:p>
        </w:tc>
        <w:tc>
          <w:tcPr/>
          <w:p>
            <w:pPr>
              <w:pStyle w:val="Compact"/>
            </w:pPr>
            <w:r>
              <w:t xml:space="preserve">MSA + DPA + SLA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Review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_5c66cb9548acf80c3156d1fc6996d75d31c4be8"/>
      <w:r>
        <w:t xml:space="preserve">5. Sanctions Screening</w:t>
      </w:r>
    </w:p>
    <w:p>
      <w:pPr>
        <w:pStyle w:val="FirstParagraph"/>
      </w:pPr>
      <w:r>
        <w:t xml:space="preserve">All customers, vendors, and employees screened against:</w:t>
      </w:r>
    </w:p>
    <w:p>
      <w:pPr>
        <w:pStyle w:val="Compact"/>
        <w:numPr>
          <w:ilvl w:val="0"/>
          <w:numId w:val="1002"/>
        </w:numPr>
      </w:pPr>
      <w:r>
        <w:t xml:space="preserve">UN Sanctions List</w:t>
      </w:r>
    </w:p>
    <w:p>
      <w:pPr>
        <w:pStyle w:val="Compact"/>
        <w:numPr>
          <w:ilvl w:val="0"/>
          <w:numId w:val="1002"/>
        </w:numPr>
      </w:pPr>
      <w:r>
        <w:t xml:space="preserve">OFAC SDN</w:t>
      </w:r>
    </w:p>
    <w:p>
      <w:pPr>
        <w:pStyle w:val="Compact"/>
        <w:numPr>
          <w:ilvl w:val="0"/>
          <w:numId w:val="1002"/>
        </w:numPr>
      </w:pPr>
      <w:r>
        <w:t xml:space="preserve">EU Consolidated</w:t>
      </w:r>
    </w:p>
    <w:p>
      <w:pPr>
        <w:pStyle w:val="Compact"/>
        <w:numPr>
          <w:ilvl w:val="0"/>
          <w:numId w:val="1002"/>
        </w:numPr>
      </w:pPr>
      <w:r>
        <w:t xml:space="preserve">UK HMT</w:t>
      </w:r>
    </w:p>
    <w:p>
      <w:pPr>
        <w:pStyle w:val="Compact"/>
        <w:numPr>
          <w:ilvl w:val="0"/>
          <w:numId w:val="1002"/>
        </w:numPr>
      </w:pPr>
      <w:r>
        <w:t xml:space="preserve">SAMA designated entities</w:t>
      </w:r>
    </w:p>
    <w:p>
      <w:pPr>
        <w:pStyle w:val="FirstParagraph"/>
      </w:pPr>
      <w:r>
        <w:t xml:space="preserve">Frequency: onboarding + ongoing (daily refresh where applicable).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_08cb585fdbbb029cb5eb59f91eb146cc169c0a7"/>
      <w:r>
        <w:t xml:space="preserve">6. PEP Screening</w:t>
      </w:r>
    </w:p>
    <w:p>
      <w:pPr>
        <w:pStyle w:val="Compact"/>
        <w:numPr>
          <w:ilvl w:val="0"/>
          <w:numId w:val="1003"/>
        </w:numPr>
      </w:pPr>
      <w:r>
        <w:t xml:space="preserve">Senior management: full PEP screening</w:t>
      </w:r>
    </w:p>
    <w:p>
      <w:pPr>
        <w:pStyle w:val="Compact"/>
        <w:numPr>
          <w:ilvl w:val="0"/>
          <w:numId w:val="1003"/>
        </w:numPr>
      </w:pPr>
      <w:r>
        <w:t xml:space="preserve">All employees: initial screening</w:t>
      </w:r>
    </w:p>
    <w:p>
      <w:pPr>
        <w:pStyle w:val="Compact"/>
        <w:numPr>
          <w:ilvl w:val="0"/>
          <w:numId w:val="1003"/>
        </w:numPr>
      </w:pPr>
      <w:r>
        <w:t xml:space="preserve">Vendors: senior management screening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_22797b1d7b676518510cf7570d5b463eb860084"/>
      <w:r>
        <w:t xml:space="preserve">7. Record Keeping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Record Type</w:t>
            </w:r>
          </w:p>
        </w:tc>
        <w:tc>
          <w:tcPr/>
          <w:p>
            <w:pPr>
              <w:pStyle w:val="Compact"/>
            </w:pPr>
            <w:r>
              <w:t xml:space="preserve">Retention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KYC documents</w:t>
            </w:r>
          </w:p>
        </w:tc>
        <w:tc>
          <w:tcPr/>
          <w:p>
            <w:pPr>
              <w:pStyle w:val="Compact"/>
            </w:pPr>
            <w:r>
              <w:t xml:space="preserve">10 years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Screening results</w:t>
            </w:r>
          </w:p>
        </w:tc>
        <w:tc>
          <w:tcPr/>
          <w:p>
            <w:pPr>
              <w:pStyle w:val="Compact"/>
            </w:pPr>
            <w:r>
              <w:t xml:space="preserve">10 years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Vendor contracts</w:t>
            </w:r>
          </w:p>
        </w:tc>
        <w:tc>
          <w:tcPr/>
          <w:p>
            <w:pPr>
              <w:pStyle w:val="Compact"/>
            </w:pPr>
            <w:r>
              <w:t xml:space="preserve">Duration + 10 years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 trail</w:t>
            </w:r>
          </w:p>
        </w:tc>
        <w:tc>
          <w:tcPr/>
          <w:p>
            <w:pPr>
              <w:pStyle w:val="Compact"/>
            </w:pPr>
            <w:r>
              <w:t xml:space="preserve">Per PDPL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_reporting"/>
      <w:r>
        <w:t xml:space="preserve">8. Reporting</w:t>
      </w:r>
    </w:p>
    <w:p>
      <w:pPr>
        <w:pStyle w:val="Compact"/>
        <w:numPr>
          <w:ilvl w:val="0"/>
          <w:numId w:val="1004"/>
        </w:numPr>
      </w:pPr>
      <w:r>
        <w:t xml:space="preserve">Suspicious activity → MLRO</w:t>
      </w:r>
    </w:p>
    <w:p>
      <w:pPr>
        <w:pStyle w:val="Compact"/>
        <w:numPr>
          <w:ilvl w:val="0"/>
          <w:numId w:val="1004"/>
        </w:numPr>
      </w:pPr>
      <w:r>
        <w:t xml:space="preserve">SAR/STR filing where required (customer-led)</w:t>
      </w:r>
    </w:p>
    <w:p>
      <w:pPr>
        <w:pStyle w:val="Compact"/>
        <w:numPr>
          <w:ilvl w:val="0"/>
          <w:numId w:val="1004"/>
        </w:numPr>
      </w:pPr>
      <w:r>
        <w:t xml:space="preserve">Regulatory reporting per SAMA Rules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_training"/>
      <w:r>
        <w:t xml:space="preserve">9. Training</w:t>
      </w:r>
    </w:p>
    <w:p>
      <w:pPr>
        <w:pStyle w:val="Compact"/>
        <w:numPr>
          <w:ilvl w:val="0"/>
          <w:numId w:val="1005"/>
        </w:numPr>
      </w:pPr>
      <w:r>
        <w:t xml:space="preserve">Annual AML/CFT training</w:t>
      </w:r>
    </w:p>
    <w:p>
      <w:pPr>
        <w:pStyle w:val="Compact"/>
        <w:numPr>
          <w:ilvl w:val="0"/>
          <w:numId w:val="1005"/>
        </w:numPr>
      </w:pPr>
      <w:r>
        <w:t xml:space="preserve">PDPL training</w:t>
      </w:r>
    </w:p>
    <w:p>
      <w:pPr>
        <w:pStyle w:val="Compact"/>
        <w:numPr>
          <w:ilvl w:val="0"/>
          <w:numId w:val="1005"/>
        </w:numPr>
      </w:pPr>
      <w:r>
        <w:t xml:space="preserve">Security awareness (quarterly)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0" w:name="_disclaimer"/>
      <w:r>
        <w:t xml:space="preserve">10. Disclaimer</w:t>
      </w:r>
    </w:p>
    <w:p>
      <w:pPr>
        <w:pStyle w:val="FirstParagraph"/>
      </w:pPr>
      <w:r>
        <w:t xml:space="preserve">This policy reflects HISN’s own AML/KYC framework.</w:t>
      </w:r>
      <w:r>
        <w:t xml:space="preserve"> </w:t>
      </w:r>
      <w:r>
        <w:rPr>
          <w:b/>
          <w:bCs/>
        </w:rPr>
        <w:t xml:space="preserve">HISN does not inherit the regulatory status of its customers.</w:t>
      </w:r>
      <w:r>
        <w:t xml:space="preserve"> </w:t>
      </w:r>
      <w:r>
        <w:t xml:space="preserve">Customers remain responsible for their own AML/CFT programs.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AML KYC Vendor Policy</dc:title>
  <dc:creator>HISN Platform</dc:creator>
  <cp:keywords>HISN, FCDOS, financial crime, decision operating system</cp:keywords>
  <dcterms:created xsi:type="dcterms:W3CDTF">2026-10-14T13:44:57Z</dcterms:created>
  <dcterms:modified xsi:type="dcterms:W3CDTF">2026-10-14T13:44:57Z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