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01_Compliance_AML_Summary</w:t>
      </w:r>
    </w:p>
    <w:p>
      <w:pPr>
        <w:pStyle w:val="Heading1"/>
      </w:pPr>
      <w:bookmarkStart w:id="19" w:name="_a548f0510f5cc0391aa8d20b6a828aaceadf8b6"/>
      <w:r>
        <w:t xml:space="preserve">Compliance &amp; AML Summary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Money Laundering Reporting Officer (MLRO) / Compliance Lead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Compliance &amp; AML Summary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MLRO /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Repository evidence, regulatory framework analysis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independent compliance review. No SAMA certification.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79d6a67ecce510c8fe278ae087b7133618b1ad4"/>
      <w:r>
        <w:t xml:space="preserve">1. Regulatory Landscape (Saudi Arabia)</w:t>
      </w:r>
    </w:p>
    <w:p>
      <w:pPr>
        <w:pStyle w:val="FirstParagraph"/>
      </w:pPr>
      <w:r>
        <w:t xml:space="preserve">HISN operates in a market regulated by: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Banks, PSPs, Exchange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</w:t>
            </w:r>
          </w:p>
        </w:tc>
        <w:tc>
          <w:tcPr/>
          <w:p>
            <w:pPr>
              <w:pStyle w:val="Compact"/>
            </w:pPr>
            <w:r>
              <w:t xml:space="preserve">Capital markets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Authority</w:t>
            </w:r>
          </w:p>
        </w:tc>
        <w:tc>
          <w:tcPr/>
          <w:p>
            <w:pPr>
              <w:pStyle w:val="Compact"/>
            </w:pPr>
            <w:r>
              <w:t xml:space="preserve">Insurance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SDAIA</w:t>
            </w:r>
          </w:p>
        </w:tc>
        <w:tc>
          <w:tcPr/>
          <w:p>
            <w:pPr>
              <w:pStyle w:val="Compact"/>
            </w:pPr>
            <w:r>
              <w:t xml:space="preserve">Data protection (PDPL)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NCA</w:t>
            </w:r>
          </w:p>
        </w:tc>
        <w:tc>
          <w:tcPr/>
          <w:p>
            <w:pPr>
              <w:pStyle w:val="Compact"/>
            </w:pPr>
            <w:r>
              <w:t xml:space="preserve">Cybersecurity (ECC)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EXTERNAL FACT — Tier 1 sources.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ef086789e471f7daa5ca9a9fedb0fe7687230b2"/>
      <w:r>
        <w:t xml:space="preserve">2. HISN’s Regulatory Position</w:t>
      </w:r>
    </w:p>
    <w:p>
      <w:pPr>
        <w:pStyle w:val="FirstParagraph"/>
      </w:pPr>
      <w:r>
        <w:rPr>
          <w:b/>
          <w:bCs/>
        </w:rPr>
        <w:t xml:space="preserve">What HISN IS:</w:t>
      </w:r>
      <w:r>
        <w:t xml:space="preserve"> </w:t>
      </w:r>
      <w:r>
        <w:t xml:space="preserve">- A technology provider</w:t>
      </w:r>
      <w:r>
        <w:t xml:space="preserve"> </w:t>
      </w:r>
      <w:r>
        <w:t xml:space="preserve">- Designed for alignment with SAMA/CMA/NCA/PDPL</w:t>
      </w:r>
      <w:r>
        <w:t xml:space="preserve"> </w:t>
      </w:r>
      <w:r>
        <w:t xml:space="preserve">- Audit-grade evidence and decision lineage</w:t>
      </w:r>
      <w:r>
        <w:t xml:space="preserve"> </w:t>
      </w:r>
      <w:r>
        <w:t xml:space="preserve">- Vendor-neutral</w:t>
      </w:r>
    </w:p>
    <w:p>
      <w:pPr>
        <w:pStyle w:val="BodyText"/>
      </w:pPr>
      <w:r>
        <w:rPr>
          <w:b/>
          <w:bCs/>
        </w:rPr>
        <w:t xml:space="preserve">What HISN is NOT:</w:t>
      </w:r>
      <w:r>
        <w:t xml:space="preserve"> </w:t>
      </w:r>
      <w:r>
        <w:t xml:space="preserve">- Not SAMA-certified</w:t>
      </w:r>
      <w:r>
        <w:t xml:space="preserve"> </w:t>
      </w:r>
      <w:r>
        <w:t xml:space="preserve">- Not CMA-approved</w:t>
      </w:r>
      <w:r>
        <w:t xml:space="preserve"> </w:t>
      </w:r>
      <w:r>
        <w:t xml:space="preserve">- Not a licensed financial institution</w:t>
      </w:r>
      <w:r>
        <w:t xml:space="preserve"> </w:t>
      </w:r>
      <w:r>
        <w:t xml:space="preserve">- Not a regulator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ACTUAL — no certification obtained.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b892c4d49ee14daf3d16e5b9922af22a1804904"/>
      <w:r>
        <w:t xml:space="preserve">3. AML / CFT Framework</w:t>
      </w:r>
    </w:p>
    <w:p>
      <w:pPr>
        <w:pStyle w:val="FirstParagraph"/>
      </w:pPr>
      <w:r>
        <w:t xml:space="preserve">HISN supports customer AML/CFT programs through: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Transaction Monitoring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 Screening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PEP Screening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Intelligence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Case Management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SAR/STR Workflow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ASSESSMENT — based on repository.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4568998b6f3a62a92fb474943ba32bdc72aadd8"/>
      <w:r>
        <w:t xml:space="preserve">4. KSA Compliance Considerations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10-year record retention</w:t>
            </w:r>
          </w:p>
        </w:tc>
        <w:tc>
          <w:tcPr/>
          <w:p>
            <w:pPr>
              <w:pStyle w:val="Compact"/>
            </w:pPr>
            <w:r>
              <w:t xml:space="preserve">Design available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Risk-based approach</w:t>
            </w:r>
          </w:p>
        </w:tc>
        <w:tc>
          <w:tcPr/>
          <w:p>
            <w:pPr>
              <w:pStyle w:val="Compact"/>
            </w:pPr>
            <w:r>
              <w:t xml:space="preserve">Decision runtime supports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SAR/STR workflow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Ongoing CDD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residency (PDPL)</w:t>
            </w:r>
          </w:p>
        </w:tc>
        <w:tc>
          <w:tcPr/>
          <w:p>
            <w:pPr>
              <w:pStyle w:val="Compact"/>
            </w:pPr>
            <w:r>
              <w:t xml:space="preserve">Options available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bc5f3890c12d0d2ea717c8b21935dd57b100d61"/>
      <w:r>
        <w:t xml:space="preserve">5. FATF Alignment</w:t>
      </w:r>
    </w:p>
    <w:p>
      <w:pPr>
        <w:pStyle w:val="FirstParagraph"/>
      </w:pPr>
      <w:r>
        <w:t xml:space="preserve">HISN is designed to align with FATF Recommendations: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Rec.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R.10</w:t>
            </w:r>
          </w:p>
        </w:tc>
        <w:tc>
          <w:tcPr/>
          <w:p>
            <w:pPr>
              <w:pStyle w:val="Compact"/>
            </w:pPr>
            <w:r>
              <w:t xml:space="preserve">Customer Due Diligence</w:t>
            </w:r>
          </w:p>
        </w:tc>
        <w:tc>
          <w:tcPr/>
          <w:p>
            <w:pPr>
              <w:pStyle w:val="Compact"/>
            </w:pPr>
            <w:r>
              <w:t xml:space="preserve">KYC/KYB engines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R.11</w:t>
            </w:r>
          </w:p>
        </w:tc>
        <w:tc>
          <w:tcPr/>
          <w:p>
            <w:pPr>
              <w:pStyle w:val="Compact"/>
            </w:pPr>
            <w:r>
              <w:t xml:space="preserve">Record Keeping</w:t>
            </w:r>
          </w:p>
        </w:tc>
        <w:tc>
          <w:tcPr/>
          <w:p>
            <w:pPr>
              <w:pStyle w:val="Compact"/>
            </w:pPr>
            <w:r>
              <w:t xml:space="preserve">Evidence +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R.12</w:t>
            </w:r>
          </w:p>
        </w:tc>
        <w:tc>
          <w:tcPr/>
          <w:p>
            <w:pPr>
              <w:pStyle w:val="Compact"/>
            </w:pPr>
            <w:r>
              <w:t xml:space="preserve">PEP</w:t>
            </w:r>
          </w:p>
        </w:tc>
        <w:tc>
          <w:tcPr/>
          <w:p>
            <w:pPr>
              <w:pStyle w:val="Compact"/>
            </w:pPr>
            <w:r>
              <w:t xml:space="preserve">Partial capability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R.15</w:t>
            </w:r>
          </w:p>
        </w:tc>
        <w:tc>
          <w:tcPr/>
          <w:p>
            <w:pPr>
              <w:pStyle w:val="Compact"/>
            </w:pPr>
            <w:r>
              <w:t xml:space="preserve">New Technologies</w:t>
            </w:r>
          </w:p>
        </w:tc>
        <w:tc>
          <w:tcPr/>
          <w:p>
            <w:pPr>
              <w:pStyle w:val="Compact"/>
            </w:pPr>
            <w:r>
              <w:t xml:space="preserve">Risk-based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R.16</w:t>
            </w:r>
          </w:p>
        </w:tc>
        <w:tc>
          <w:tcPr/>
          <w:p>
            <w:pPr>
              <w:pStyle w:val="Compact"/>
            </w:pPr>
            <w:r>
              <w:t xml:space="preserve">Wire Transfers</w:t>
            </w:r>
          </w:p>
        </w:tc>
        <w:tc>
          <w:tcPr/>
          <w:p>
            <w:pPr>
              <w:pStyle w:val="Compact"/>
            </w:pPr>
            <w:r>
              <w:t xml:space="preserve">Remittance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R.17</w:t>
            </w:r>
          </w:p>
        </w:tc>
        <w:tc>
          <w:tcPr/>
          <w:p>
            <w:pPr>
              <w:pStyle w:val="Compact"/>
            </w:pPr>
            <w:r>
              <w:t xml:space="preserve">Third Parties</w:t>
            </w:r>
          </w:p>
        </w:tc>
        <w:tc>
          <w:tcPr/>
          <w:p>
            <w:pPr>
              <w:pStyle w:val="Compact"/>
            </w:pPr>
            <w:r>
              <w:t xml:space="preserve">TSP control plane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R.18</w:t>
            </w:r>
          </w:p>
        </w:tc>
        <w:tc>
          <w:tcPr/>
          <w:p>
            <w:pPr>
              <w:pStyle w:val="Compact"/>
            </w:pPr>
            <w:r>
              <w:t xml:space="preserve">Internal Controls</w:t>
            </w:r>
          </w:p>
        </w:tc>
        <w:tc>
          <w:tcPr/>
          <w:p>
            <w:pPr>
              <w:pStyle w:val="Compact"/>
            </w:pPr>
            <w:r>
              <w:t xml:space="preserve">Governance +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R.19</w:t>
            </w:r>
          </w:p>
        </w:tc>
        <w:tc>
          <w:tcPr/>
          <w:p>
            <w:pPr>
              <w:pStyle w:val="Compact"/>
            </w:pPr>
            <w:r>
              <w:t xml:space="preserve">Higher-Risk Countries</w:t>
            </w:r>
          </w:p>
        </w:tc>
        <w:tc>
          <w:tcPr/>
          <w:p>
            <w:pPr>
              <w:pStyle w:val="Compact"/>
            </w:pPr>
            <w:r>
              <w:t xml:space="preserve">Country rules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R.20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SAR/STR workflow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R.21</w:t>
            </w:r>
          </w:p>
        </w:tc>
        <w:tc>
          <w:tcPr/>
          <w:p>
            <w:pPr>
              <w:pStyle w:val="Compact"/>
            </w:pPr>
            <w:r>
              <w:t xml:space="preserve">Tipping Off</w:t>
            </w:r>
          </w:p>
        </w:tc>
        <w:tc>
          <w:tcPr/>
          <w:p>
            <w:pPr>
              <w:pStyle w:val="Compact"/>
            </w:pPr>
            <w:r>
              <w:t xml:space="preserve">RBAC + confidentiality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Design intent — NOT certified compliance.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15d9a0f9c72ed684550e62a0d9a319da9e07d67"/>
      <w:r>
        <w:t xml:space="preserve">6. Compliance Gaps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independent compliance review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SAMA CSF certification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formal regulatory engagement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PEP capability partial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SAR/STR workflow framework only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f148e3e83731a66f32dd7beb93cc2bcfbf173dd"/>
      <w:r>
        <w:t xml:space="preserve">7. Customer Responsibility</w:t>
      </w:r>
    </w:p>
    <w:p>
      <w:pPr>
        <w:pStyle w:val="FirstParagraph"/>
      </w:pPr>
      <w:r>
        <w:t xml:space="preserve">HISN is a technology provider.</w:t>
      </w:r>
      <w:r>
        <w:t xml:space="preserve"> </w:t>
      </w:r>
      <w:r>
        <w:rPr>
          <w:b/>
          <w:bCs/>
        </w:rPr>
        <w:t xml:space="preserve">Regulatory status remains with the customer institution.</w:t>
      </w:r>
    </w:p>
    <w:p>
      <w:pPr>
        <w:pStyle w:val="BodyText"/>
      </w:pPr>
      <w:r>
        <w:t xml:space="preserve">Customers remain responsible for:</w:t>
      </w:r>
      <w:r>
        <w:t xml:space="preserve"> </w:t>
      </w:r>
      <w:r>
        <w:t xml:space="preserve">- Regulatory licensing</w:t>
      </w:r>
      <w:r>
        <w:t xml:space="preserve"> </w:t>
      </w:r>
      <w:r>
        <w:t xml:space="preserve">- Regulatory reporting (SAR/STR filing)</w:t>
      </w:r>
      <w:r>
        <w:t xml:space="preserve"> </w:t>
      </w:r>
      <w:r>
        <w:t xml:space="preserve">- AML/CFT program ownership</w:t>
      </w:r>
      <w:r>
        <w:t xml:space="preserve"> </w:t>
      </w:r>
      <w:r>
        <w:t xml:space="preserve">- MLRO appointment and independence</w:t>
      </w:r>
      <w:r>
        <w:t xml:space="preserve"> </w:t>
      </w:r>
      <w:r>
        <w:t xml:space="preserve">- Record retention compliance</w:t>
      </w:r>
    </w:p>
    <w:p>
      <w:pPr>
        <w:pStyle w:val="BodyText"/>
      </w:pPr>
      <w:r>
        <w:t xml:space="preserve">HISN provides the technology infrastructure to support these obligations.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disclaimer"/>
      <w:r>
        <w:t xml:space="preserve">8. Disclaimer</w:t>
      </w:r>
    </w:p>
    <w:p>
      <w:pPr>
        <w:pStyle w:val="FirstParagraph"/>
      </w:pPr>
      <w:r>
        <w:t xml:space="preserve">This Compliance &amp; AML Summary is prepared to an audit-ready standard.</w:t>
      </w:r>
      <w:r>
        <w:t xml:space="preserve"> </w:t>
      </w:r>
      <w:r>
        <w:rPr>
          <w:b/>
          <w:bCs/>
        </w:rPr>
        <w:t xml:space="preserve">No regulatory certification or independent compliance review has been obtained.</w:t>
      </w:r>
    </w:p>
    <w:p>
      <w:pPr>
        <w:pStyle w:val="BodyText"/>
      </w:pPr>
      <w:r>
        <w:t xml:space="preserve">HISN does not claim SAMA approval, CMA approval, or FATF compliance. HISN is designed for alignment with applicable frameworks.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Compliance AML Summary</dc:title>
  <dc:creator>HISN Platform</dc:creator>
  <cp:keywords>HISN, FCDOS, financial crime, decision operating system</cp:keywords>
  <dcterms:created xsi:type="dcterms:W3CDTF">2026-10-14T13:12:22Z</dcterms:created>
  <dcterms:modified xsi:type="dcterms:W3CDTF">2026-10-14T13:12:22Z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