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02_AML_CFT_Operating_Framework</w:t>
      </w:r>
    </w:p>
    <w:p>
      <w:pPr>
        <w:pStyle w:val="Heading1"/>
      </w:pPr>
      <w:bookmarkStart w:id="19" w:name="_d22f1590f7f8393b159fe1359beb6edd1cf374c"/>
      <w:r>
        <w:t xml:space="preserve">AML/CFT Operating Framework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MLRO / Compliance Lead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AML/CFT Operating 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SAMA AML/CFT Rules, FATF Recommendations, repository architecture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No independent compliance review. No SAMA approval.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Taxonomy</w:t>
            </w:r>
          </w:p>
        </w:tc>
        <w:tc>
          <w:tcPr/>
          <w:p>
            <w:pPr>
              <w:pStyle w:val="Compact"/>
            </w:pPr>
            <w:r>
              <w:t xml:space="preserve">ACTUAL / EXTERNAL FACT / MANAGEMENT ASSUMPTION / DERIVED / SCENARIO / UNKNOWN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document details how HISN supports a customer institution’s AML/CFT program. HISN is a technology provider; AML/CFT regulatory ownership remains with the customer.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f556af9e82060ef7986eb0e5c257ac2f218b774"/>
      <w:r>
        <w:t xml:space="preserve">2. AML/CFT Regulatory Context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Regulation</w:t>
            </w:r>
          </w:p>
        </w:tc>
        <w:tc>
          <w:tcPr/>
          <w:p>
            <w:pPr>
              <w:pStyle w:val="Compact"/>
            </w:pPr>
            <w:r>
              <w:t xml:space="preserve">Relevance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 AML/CFT Rules</w:t>
            </w:r>
          </w:p>
        </w:tc>
        <w:tc>
          <w:tcPr/>
          <w:p>
            <w:pPr>
              <w:pStyle w:val="Compact"/>
            </w:pPr>
            <w:r>
              <w:t xml:space="preserve">Applicable to banks, PSPs, exchange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FATF Recommendations (updated June 2026)</w:t>
            </w:r>
          </w:p>
        </w:tc>
        <w:tc>
          <w:tcPr/>
          <w:p>
            <w:pPr>
              <w:pStyle w:val="Compact"/>
            </w:pPr>
            <w:r>
              <w:t xml:space="preserve">International standard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KSA National Risk Assessment</w:t>
            </w:r>
          </w:p>
        </w:tc>
        <w:tc>
          <w:tcPr/>
          <w:p>
            <w:pPr>
              <w:pStyle w:val="Compact"/>
            </w:pPr>
            <w:r>
              <w:t xml:space="preserve">National 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Executive Regulation of AML Law</w:t>
            </w:r>
          </w:p>
        </w:tc>
        <w:tc>
          <w:tcPr/>
          <w:p>
            <w:pPr>
              <w:pStyle w:val="Compact"/>
            </w:pPr>
            <w:r>
              <w:t xml:space="preserve">KSA implementation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EXTERNAL FACT — Tier 1 sources.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4ce585dfa87609b8214798ca345c8e9c7092ce9"/>
      <w:r>
        <w:t xml:space="preserve">3. HISN’s AML/CFT Support Capabilities</w:t>
      </w:r>
    </w:p>
    <w:p>
      <w:pPr>
        <w:pStyle w:val="Heading3"/>
      </w:pPr>
      <w:bookmarkStart w:id="24" w:name="_9710187d7a9b0df59d8ecb3752a0a3b85450aba"/>
      <w:r>
        <w:t xml:space="preserve">3.1 Customer Due Diligence (CDD)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HISN Support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Identity verification</w:t>
            </w:r>
          </w:p>
        </w:tc>
        <w:tc>
          <w:tcPr/>
          <w:p>
            <w:pPr>
              <w:pStyle w:val="Compact"/>
            </w:pPr>
            <w:r>
              <w:t xml:space="preserve">KYC engine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risk rating</w:t>
            </w:r>
          </w:p>
        </w:tc>
        <w:tc>
          <w:tcPr/>
          <w:p>
            <w:pPr>
              <w:pStyle w:val="Compact"/>
            </w:pPr>
            <w:r>
              <w:t xml:space="preserve">Risk engine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Enhanced Due Diligence (EDD)</w:t>
            </w:r>
          </w:p>
        </w:tc>
        <w:tc>
          <w:tcPr/>
          <w:p>
            <w:pPr>
              <w:pStyle w:val="Compact"/>
            </w:pPr>
            <w:r>
              <w:t xml:space="preserve">Policy-driven workflow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Beneficial ownership (UBO)</w:t>
            </w:r>
          </w:p>
        </w:tc>
        <w:tc>
          <w:tcPr/>
          <w:p>
            <w:pPr>
              <w:pStyle w:val="Compact"/>
            </w:pPr>
            <w:r>
              <w:t xml:space="preserve">Party/ownership model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Periodic review</w:t>
            </w:r>
          </w:p>
        </w:tc>
        <w:tc>
          <w:tcPr/>
          <w:p>
            <w:pPr>
              <w:pStyle w:val="Compact"/>
            </w:pPr>
            <w:r>
              <w:t xml:space="preserve">Scheduling framework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Heading3"/>
      </w:pPr>
      <w:bookmarkStart w:id="25" w:name="_5317eb28d9b98403dcfdc22d8b40f8276ed38e7"/>
      <w:r>
        <w:t xml:space="preserve">3.2 Transaction Monitoring (TM)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HISN Support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Rule-based scenarios</w:t>
            </w:r>
          </w:p>
        </w:tc>
        <w:tc>
          <w:tcPr/>
          <w:p>
            <w:pPr>
              <w:pStyle w:val="Compact"/>
            </w:pPr>
            <w:r>
              <w:t xml:space="preserve">52 canonical AML/TM scenarios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Behavioral patterns</w:t>
            </w:r>
          </w:p>
        </w:tc>
        <w:tc>
          <w:tcPr/>
          <w:p>
            <w:pPr>
              <w:pStyle w:val="Compact"/>
            </w:pPr>
            <w:r>
              <w:t xml:space="preserve">Graph + behavioral engines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Peer comparison</w:t>
            </w:r>
          </w:p>
        </w:tc>
        <w:tc>
          <w:tcPr/>
          <w:p>
            <w:pPr>
              <w:pStyle w:val="Compact"/>
            </w:pPr>
            <w:r>
              <w:t xml:space="preserve">Customer 360 framework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Alert generation</w:t>
            </w:r>
          </w:p>
        </w:tc>
        <w:tc>
          <w:tcPr/>
          <w:p>
            <w:pPr>
              <w:pStyle w:val="Compact"/>
            </w:pPr>
            <w:r>
              <w:t xml:space="preserve">Canonical decision runtime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Alert triage</w:t>
            </w:r>
          </w:p>
        </w:tc>
        <w:tc>
          <w:tcPr/>
          <w:p>
            <w:pPr>
              <w:pStyle w:val="Compact"/>
            </w:pPr>
            <w:r>
              <w:t xml:space="preserve">Case management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Heading3"/>
      </w:pPr>
      <w:bookmarkStart w:id="26" w:name="_03847de6b64541d8c5e3afc3c9506fe5b51a5e2"/>
      <w:r>
        <w:t xml:space="preserve">3.3 Sanctions &amp; PEP Screening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HISN Support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Sanctions screening</w:t>
            </w:r>
          </w:p>
        </w:tc>
        <w:tc>
          <w:tcPr/>
          <w:p>
            <w:pPr>
              <w:pStyle w:val="Compact"/>
            </w:pPr>
            <w:r>
              <w:t xml:space="preserve">Sanctions engine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PEP screening</w:t>
            </w:r>
          </w:p>
        </w:tc>
        <w:tc>
          <w:tcPr/>
          <w:p>
            <w:pPr>
              <w:pStyle w:val="Compact"/>
            </w:pPr>
            <w:r>
              <w:t xml:space="preserve">PEP capability (partial)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Adverse media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Ongoing monitoring</w:t>
            </w:r>
          </w:p>
        </w:tc>
        <w:tc>
          <w:tcPr/>
          <w:p>
            <w:pPr>
              <w:pStyle w:val="Compact"/>
            </w:pPr>
            <w:r>
              <w:t xml:space="preserve">Refresh framework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Match resolution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Heading3"/>
      </w:pPr>
      <w:bookmarkStart w:id="27" w:name="_231526230b02d4bd7abdd8ac47dad2b1f91031e"/>
      <w:r>
        <w:t xml:space="preserve">3.4 Regulatory Reporting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HISN Support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SAR/STR workflow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CTR reporting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classification</w:t>
            </w:r>
          </w:p>
        </w:tc>
        <w:tc>
          <w:tcPr/>
          <w:p>
            <w:pPr>
              <w:pStyle w:val="Compact"/>
            </w:pPr>
            <w:r>
              <w:t xml:space="preserve">Regulatory traceability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trail</w:t>
            </w:r>
          </w:p>
        </w:tc>
        <w:tc>
          <w:tcPr/>
          <w:p>
            <w:pPr>
              <w:pStyle w:val="Compact"/>
            </w:pPr>
            <w:r>
              <w:t xml:space="preserve">Immutable evidence chain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Heading3"/>
      </w:pPr>
      <w:bookmarkStart w:id="28" w:name="_22797b1d7b676518510cf7570d5b463eb860084"/>
      <w:r>
        <w:t xml:space="preserve">3.5 Record Keeping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HISN Support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10-year retention</w:t>
            </w:r>
          </w:p>
        </w:tc>
        <w:tc>
          <w:tcPr/>
          <w:p>
            <w:pPr>
              <w:pStyle w:val="Compact"/>
            </w:pPr>
            <w:r>
              <w:t xml:space="preserve">Data retention policy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trail</w:t>
            </w:r>
          </w:p>
        </w:tc>
        <w:tc>
          <w:tcPr/>
          <w:p>
            <w:pPr>
              <w:pStyle w:val="Compact"/>
            </w:pPr>
            <w:r>
              <w:t xml:space="preserve">Decision DNA + Evidence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traceability</w:t>
            </w:r>
          </w:p>
        </w:tc>
        <w:tc>
          <w:tcPr/>
          <w:p>
            <w:pPr>
              <w:pStyle w:val="Compact"/>
            </w:pPr>
            <w:r>
              <w:t xml:space="preserve">Traceability contract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3ccd237d4d1cb155fcbcbd23e59bbb4f36f7c7d"/>
      <w:r>
        <w:t xml:space="preserve">4. FATF Recommendations Alignment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Rec.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HISN Support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R.10</w:t>
            </w:r>
          </w:p>
        </w:tc>
        <w:tc>
          <w:tcPr/>
          <w:p>
            <w:pPr>
              <w:pStyle w:val="Compact"/>
            </w:pPr>
            <w:r>
              <w:t xml:space="preserve">Customer Due Diligence</w:t>
            </w:r>
          </w:p>
        </w:tc>
        <w:tc>
          <w:tcPr/>
          <w:p>
            <w:pPr>
              <w:pStyle w:val="Compact"/>
            </w:pPr>
            <w:r>
              <w:t xml:space="preserve">KYC/KYB engines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R.11</w:t>
            </w:r>
          </w:p>
        </w:tc>
        <w:tc>
          <w:tcPr/>
          <w:p>
            <w:pPr>
              <w:pStyle w:val="Compact"/>
            </w:pPr>
            <w:r>
              <w:t xml:space="preserve">Record Keeping</w:t>
            </w:r>
          </w:p>
        </w:tc>
        <w:tc>
          <w:tcPr/>
          <w:p>
            <w:pPr>
              <w:pStyle w:val="Compact"/>
            </w:pPr>
            <w:r>
              <w:t xml:space="preserve">Evidence + Audit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R.12</w:t>
            </w:r>
          </w:p>
        </w:tc>
        <w:tc>
          <w:tcPr/>
          <w:p>
            <w:pPr>
              <w:pStyle w:val="Compact"/>
            </w:pPr>
            <w:r>
              <w:t xml:space="preserve">Politically Exposed Persons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R.15</w:t>
            </w:r>
          </w:p>
        </w:tc>
        <w:tc>
          <w:tcPr/>
          <w:p>
            <w:pPr>
              <w:pStyle w:val="Compact"/>
            </w:pPr>
            <w:r>
              <w:t xml:space="preserve">New Technologies</w:t>
            </w:r>
          </w:p>
        </w:tc>
        <w:tc>
          <w:tcPr/>
          <w:p>
            <w:pPr>
              <w:pStyle w:val="Compact"/>
            </w:pPr>
            <w:r>
              <w:t xml:space="preserve">Risk-based runtime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R.16</w:t>
            </w:r>
          </w:p>
        </w:tc>
        <w:tc>
          <w:tcPr/>
          <w:p>
            <w:pPr>
              <w:pStyle w:val="Compact"/>
            </w:pPr>
            <w:r>
              <w:t xml:space="preserve">Wire Transfers</w:t>
            </w:r>
          </w:p>
        </w:tc>
        <w:tc>
          <w:tcPr/>
          <w:p>
            <w:pPr>
              <w:pStyle w:val="Compact"/>
            </w:pPr>
            <w:r>
              <w:t xml:space="preserve">Remittance support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R.17</w:t>
            </w:r>
          </w:p>
        </w:tc>
        <w:tc>
          <w:tcPr/>
          <w:p>
            <w:pPr>
              <w:pStyle w:val="Compact"/>
            </w:pPr>
            <w:r>
              <w:t xml:space="preserve">Reliance on Third Parties</w:t>
            </w:r>
          </w:p>
        </w:tc>
        <w:tc>
          <w:tcPr/>
          <w:p>
            <w:pPr>
              <w:pStyle w:val="Compact"/>
            </w:pPr>
            <w:r>
              <w:t xml:space="preserve">TSP control plane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R.18</w:t>
            </w:r>
          </w:p>
        </w:tc>
        <w:tc>
          <w:tcPr/>
          <w:p>
            <w:pPr>
              <w:pStyle w:val="Compact"/>
            </w:pPr>
            <w:r>
              <w:t xml:space="preserve">Internal Controls</w:t>
            </w:r>
          </w:p>
        </w:tc>
        <w:tc>
          <w:tcPr/>
          <w:p>
            <w:pPr>
              <w:pStyle w:val="Compact"/>
            </w:pPr>
            <w:r>
              <w:t xml:space="preserve">Governance + audit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R.19</w:t>
            </w:r>
          </w:p>
        </w:tc>
        <w:tc>
          <w:tcPr/>
          <w:p>
            <w:pPr>
              <w:pStyle w:val="Compact"/>
            </w:pPr>
            <w:r>
              <w:t xml:space="preserve">Higher-Risk Countries</w:t>
            </w:r>
          </w:p>
        </w:tc>
        <w:tc>
          <w:tcPr/>
          <w:p>
            <w:pPr>
              <w:pStyle w:val="Compact"/>
            </w:pPr>
            <w:r>
              <w:t xml:space="preserve">Country rules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R.20</w:t>
            </w:r>
          </w:p>
        </w:tc>
        <w:tc>
          <w:tcPr/>
          <w:p>
            <w:pPr>
              <w:pStyle w:val="Compact"/>
            </w:pPr>
            <w:r>
              <w:t xml:space="preserve">Reporting Suspicious Transactions</w:t>
            </w:r>
          </w:p>
        </w:tc>
        <w:tc>
          <w:tcPr/>
          <w:p>
            <w:pPr>
              <w:pStyle w:val="Compact"/>
            </w:pPr>
            <w:r>
              <w:t xml:space="preserve">SAR/STR workflow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R.21</w:t>
            </w:r>
          </w:p>
        </w:tc>
        <w:tc>
          <w:tcPr/>
          <w:p>
            <w:pPr>
              <w:pStyle w:val="Compact"/>
            </w:pPr>
            <w:r>
              <w:t xml:space="preserve">Tipping Off</w:t>
            </w:r>
          </w:p>
        </w:tc>
        <w:tc>
          <w:tcPr/>
          <w:p>
            <w:pPr>
              <w:pStyle w:val="Compact"/>
            </w:pPr>
            <w:r>
              <w:t xml:space="preserve">RBAC + confidentiality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Design alignment — NOT certified compliance.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a6da0a7e741f74846734c6abf169637d12bc697"/>
      <w:r>
        <w:t xml:space="preserve">5. AML/CFT Governance</w:t>
      </w:r>
    </w:p>
    <w:p>
      <w:pPr>
        <w:pStyle w:val="Heading3"/>
      </w:pPr>
      <w:bookmarkStart w:id="31" w:name="_ad8a2f3896a55c11caa8250453a881510858521"/>
      <w:r>
        <w:t xml:space="preserve">5.1 Customer Responsibilities</w:t>
      </w:r>
    </w:p>
    <w:p>
      <w:pPr>
        <w:pStyle w:val="FirstParagraph"/>
      </w:pPr>
      <w:r>
        <w:t xml:space="preserve">The customer institution remains responsible for:</w:t>
      </w:r>
    </w:p>
    <w:p>
      <w:pPr>
        <w:pStyle w:val="Compact"/>
        <w:numPr>
          <w:ilvl w:val="0"/>
          <w:numId w:val="1001"/>
        </w:numPr>
      </w:pPr>
      <w:r>
        <w:t xml:space="preserve">AML/CFT program ownership</w:t>
      </w:r>
    </w:p>
    <w:p>
      <w:pPr>
        <w:pStyle w:val="Compact"/>
        <w:numPr>
          <w:ilvl w:val="0"/>
          <w:numId w:val="1001"/>
        </w:numPr>
      </w:pPr>
      <w:r>
        <w:t xml:space="preserve">MLRO appointment and independence</w:t>
      </w:r>
    </w:p>
    <w:p>
      <w:pPr>
        <w:pStyle w:val="Compact"/>
        <w:numPr>
          <w:ilvl w:val="0"/>
          <w:numId w:val="1001"/>
        </w:numPr>
      </w:pPr>
      <w:r>
        <w:t xml:space="preserve">Regulatory reporting (SAR/STR filing)</w:t>
      </w:r>
    </w:p>
    <w:p>
      <w:pPr>
        <w:pStyle w:val="Compact"/>
        <w:numPr>
          <w:ilvl w:val="0"/>
          <w:numId w:val="1001"/>
        </w:numPr>
      </w:pPr>
      <w:r>
        <w:t xml:space="preserve">Regulatory licensing</w:t>
      </w:r>
    </w:p>
    <w:p>
      <w:pPr>
        <w:pStyle w:val="Compact"/>
        <w:numPr>
          <w:ilvl w:val="0"/>
          <w:numId w:val="1001"/>
        </w:numPr>
      </w:pPr>
      <w:r>
        <w:t xml:space="preserve">Record retention compliance</w:t>
      </w:r>
    </w:p>
    <w:p>
      <w:pPr>
        <w:pStyle w:val="Compact"/>
        <w:numPr>
          <w:ilvl w:val="0"/>
          <w:numId w:val="1001"/>
        </w:numPr>
      </w:pPr>
      <w:r>
        <w:t xml:space="preserve">Training and awareness</w:t>
      </w:r>
    </w:p>
    <w:p>
      <w:pPr>
        <w:pStyle w:val="Heading3"/>
      </w:pPr>
      <w:bookmarkStart w:id="32" w:name="_eef3a39b02659a8608fcb9a8d72939cc907d9f4"/>
      <w:r>
        <w:t xml:space="preserve">5.2 HISN Responsibilities</w:t>
      </w:r>
    </w:p>
    <w:p>
      <w:pPr>
        <w:pStyle w:val="FirstParagraph"/>
      </w:pPr>
      <w:r>
        <w:t xml:space="preserve">HISN provides:</w:t>
      </w:r>
    </w:p>
    <w:p>
      <w:pPr>
        <w:pStyle w:val="Compact"/>
        <w:numPr>
          <w:ilvl w:val="0"/>
          <w:numId w:val="1002"/>
        </w:numPr>
      </w:pPr>
      <w:r>
        <w:t xml:space="preserve">Technology infrastructure for AML/CFT execution</w:t>
      </w:r>
    </w:p>
    <w:p>
      <w:pPr>
        <w:pStyle w:val="Compact"/>
        <w:numPr>
          <w:ilvl w:val="0"/>
          <w:numId w:val="1002"/>
        </w:numPr>
      </w:pPr>
      <w:r>
        <w:t xml:space="preserve">Evidence + audit trail</w:t>
      </w:r>
    </w:p>
    <w:p>
      <w:pPr>
        <w:pStyle w:val="Compact"/>
        <w:numPr>
          <w:ilvl w:val="0"/>
          <w:numId w:val="1002"/>
        </w:numPr>
      </w:pPr>
      <w:r>
        <w:t xml:space="preserve">Regulatory traceability support</w:t>
      </w:r>
    </w:p>
    <w:p>
      <w:pPr>
        <w:pStyle w:val="Compact"/>
        <w:numPr>
          <w:ilvl w:val="0"/>
          <w:numId w:val="1002"/>
        </w:numPr>
      </w:pPr>
      <w:r>
        <w:t xml:space="preserve">Decision governance</w:t>
      </w:r>
    </w:p>
    <w:p>
      <w:pPr>
        <w:pStyle w:val="Heading3"/>
      </w:pPr>
      <w:bookmarkStart w:id="33" w:name="_interface"/>
      <w:r>
        <w:t xml:space="preserve">5.3 Interface</w:t>
      </w:r>
    </w:p>
    <w:p>
      <w:pPr>
        <w:pStyle w:val="FirstParagraph"/>
      </w:pPr>
      <w:r>
        <w:t xml:space="preserve">The customer uses HISN to execute AML/CFT decisions. HISN ensures every decision is:</w:t>
      </w:r>
    </w:p>
    <w:p>
      <w:pPr>
        <w:pStyle w:val="Compact"/>
        <w:numPr>
          <w:ilvl w:val="0"/>
          <w:numId w:val="1003"/>
        </w:numPr>
      </w:pPr>
      <w:r>
        <w:t xml:space="preserve">Explainable</w:t>
      </w:r>
    </w:p>
    <w:p>
      <w:pPr>
        <w:pStyle w:val="Compact"/>
        <w:numPr>
          <w:ilvl w:val="0"/>
          <w:numId w:val="1003"/>
        </w:numPr>
      </w:pPr>
      <w:r>
        <w:t xml:space="preserve">Reproducible</w:t>
      </w:r>
    </w:p>
    <w:p>
      <w:pPr>
        <w:pStyle w:val="Compact"/>
        <w:numPr>
          <w:ilvl w:val="0"/>
          <w:numId w:val="1003"/>
        </w:numPr>
      </w:pPr>
      <w:r>
        <w:t xml:space="preserve">Auditable</w:t>
      </w:r>
    </w:p>
    <w:p>
      <w:pPr>
        <w:pStyle w:val="Compact"/>
        <w:numPr>
          <w:ilvl w:val="0"/>
          <w:numId w:val="1003"/>
        </w:numPr>
      </w:pPr>
      <w:r>
        <w:t xml:space="preserve">Policy-compliant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_e54a18fadb5557ec9e22135045f4d162df5a48f"/>
      <w:r>
        <w:t xml:space="preserve">6. AML/CFT Operating Model</w:t>
      </w:r>
    </w:p>
    <w:p>
      <w:pPr>
        <w:pStyle w:val="FirstParagraph"/>
      </w:pPr>
      <w:r>
        <w:t xml:space="preserve">Customer CDD → Risk Rating → Ongoing Monitoring</w:t>
      </w:r>
      <w:r>
        <w:t xml:space="preserve"> </w:t>
      </w:r>
      <w:r>
        <w:t xml:space="preserve">↓</w:t>
      </w:r>
      <w:r>
        <w:t xml:space="preserve"> </w:t>
      </w:r>
      <w:r>
        <w:t xml:space="preserve">Transaction Monitoring (52 scenarios)</w:t>
      </w:r>
      <w:r>
        <w:t xml:space="preserve"> </w:t>
      </w:r>
      <w:r>
        <w:t xml:space="preserve">↓</w:t>
      </w:r>
      <w:r>
        <w:t xml:space="preserve"> </w:t>
      </w:r>
      <w:r>
        <w:t xml:space="preserve">Alert Generation → Triage → Investigation</w:t>
      </w:r>
      <w:r>
        <w:t xml:space="preserve"> </w:t>
      </w:r>
      <w:r>
        <w:t xml:space="preserve">↓</w:t>
      </w:r>
      <w:r>
        <w:t xml:space="preserve"> </w:t>
      </w:r>
      <w:r>
        <w:t xml:space="preserve">Decision (approve / escalate / reject)</w:t>
      </w:r>
      <w:r>
        <w:t xml:space="preserve"> </w:t>
      </w:r>
      <w:r>
        <w:t xml:space="preserve">↓</w:t>
      </w:r>
      <w:r>
        <w:t xml:space="preserve"> </w:t>
      </w:r>
      <w:r>
        <w:t xml:space="preserve">SAR/STR Filing (customer-led)</w:t>
      </w:r>
      <w:r>
        <w:t xml:space="preserve"> </w:t>
      </w:r>
      <w:r>
        <w:t xml:space="preserve">↓</w:t>
      </w:r>
      <w:r>
        <w:t xml:space="preserve"> </w:t>
      </w:r>
      <w:r>
        <w:t xml:space="preserve">Audit Trail + Evidence</w:t>
      </w:r>
    </w:p>
    <w:p>
      <w:pPr>
        <w:pStyle w:val="BodyText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MANAGEMENT ASSESSMENT — based on repository architecture.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5" w:name="_41300ad6b95baf4130a01233ddf293434d4d8bb"/>
      <w:r>
        <w:t xml:space="preserve">7. Gaps and Open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SAR/STR workflow framework only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Product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PEP capability partial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Product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independent compliance review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formal regulatory engagement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Adverse media framework only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Product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_disclaimer"/>
      <w:r>
        <w:t xml:space="preserve">8. Disclaimer</w:t>
      </w:r>
    </w:p>
    <w:p>
      <w:pPr>
        <w:pStyle w:val="FirstParagraph"/>
      </w:pPr>
      <w:r>
        <w:t xml:space="preserve">This AML/CFT Operating Framework describes HISN’s support for customer AML/CFT programs.</w:t>
      </w:r>
      <w:r>
        <w:t xml:space="preserve"> </w:t>
      </w:r>
      <w:r>
        <w:rPr>
          <w:b/>
          <w:bCs/>
        </w:rPr>
        <w:t xml:space="preserve">HISN does not provide AML/CFT compliance as a service; regulatory status remains with the customer institution.</w:t>
      </w:r>
    </w:p>
    <w:p>
      <w:pPr>
        <w:pStyle w:val="BodyText"/>
      </w:pPr>
      <w:r>
        <w:t xml:space="preserve">No regulatory approval or certification has been obtained.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AML CFT Operating Framework</dc:title>
  <dc:creator>HISN Platform</dc:creator>
  <cp:keywords>HISN, FCDOS, financial crime, decision operating system</cp:keywords>
  <dcterms:created xsi:type="dcterms:W3CDTF">2026-10-14T13:37:05Z</dcterms:created>
  <dcterms:modified xsi:type="dcterms:W3CDTF">2026-10-14T13:37:05Z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