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BREACH NOTIFICATION PROCEDURE</w:t>
      </w:r>
    </w:p>
    <w:p>
      <w:pPr>
        <w:pStyle w:val="Heading2"/>
      </w:pPr>
      <w:bookmarkStart w:id="9" w:name="_detection"/>
      <w:r>
        <w:t xml:space="preserve">1. Detection</w:t>
      </w:r>
    </w:p>
    <w:p>
      <w:pPr>
        <w:pStyle w:val="FirstParagraph"/>
      </w:pPr>
      <w:r>
        <w:t xml:space="preserve">Monitoring, reports</w:t>
      </w:r>
    </w:p>
    <w:p>
      <w:pPr>
        <w:pStyle w:val="Heading2"/>
      </w:pPr>
      <w:bookmarkStart w:id="10" w:name="_assessment"/>
      <w:r>
        <w:t xml:space="preserve">2. Assessment</w:t>
      </w:r>
    </w:p>
    <w:p>
      <w:pPr>
        <w:pStyle w:val="FirstParagraph"/>
      </w:pPr>
      <w:r>
        <w:t xml:space="preserve">Severity, scope, impact</w:t>
      </w:r>
    </w:p>
    <w:p>
      <w:pPr>
        <w:pStyle w:val="Heading2"/>
      </w:pPr>
      <w:bookmarkStart w:id="11" w:name="_containment"/>
      <w:r>
        <w:t xml:space="preserve">3. Containment</w:t>
      </w:r>
    </w:p>
    <w:p>
      <w:pPr>
        <w:pStyle w:val="FirstParagraph"/>
      </w:pPr>
      <w:r>
        <w:t xml:space="preserve">Immediate</w:t>
      </w:r>
    </w:p>
    <w:p>
      <w:pPr>
        <w:pStyle w:val="Heading2"/>
      </w:pPr>
      <w:bookmarkStart w:id="12" w:name="_notification"/>
      <w:r>
        <w:t xml:space="preserve">4. Notification</w:t>
      </w:r>
    </w:p>
    <w:p>
      <w:pPr>
        <w:pStyle w:val="Compact"/>
        <w:numPr>
          <w:ilvl w:val="0"/>
          <w:numId w:val="1001"/>
        </w:numPr>
      </w:pPr>
      <w:r>
        <w:t xml:space="preserve">SDAIA: 72h</w:t>
      </w:r>
    </w:p>
    <w:p>
      <w:pPr>
        <w:pStyle w:val="Compact"/>
        <w:numPr>
          <w:ilvl w:val="0"/>
          <w:numId w:val="1001"/>
        </w:numPr>
      </w:pPr>
      <w:r>
        <w:t xml:space="preserve">Data subjects: without undue delay</w:t>
      </w:r>
    </w:p>
    <w:p>
      <w:pPr>
        <w:pStyle w:val="Compact"/>
        <w:numPr>
          <w:ilvl w:val="0"/>
          <w:numId w:val="1001"/>
        </w:numPr>
      </w:pPr>
      <w:r>
        <w:t xml:space="preserve">Customers: per SLA</w:t>
      </w:r>
    </w:p>
    <w:p>
      <w:pPr>
        <w:pStyle w:val="Heading2"/>
      </w:pPr>
      <w:bookmarkStart w:id="13" w:name="_documentation"/>
      <w:r>
        <w:t xml:space="preserve">5. Documentation</w:t>
      </w:r>
    </w:p>
    <w:p>
      <w:pPr>
        <w:pStyle w:val="FirstParagraph"/>
      </w:pPr>
      <w:r>
        <w:t xml:space="preserve">Breach register</w:t>
      </w:r>
    </w:p>
    <w:p>
      <w:pPr>
        <w:pStyle w:val="Heading2"/>
      </w:pPr>
      <w:bookmarkStart w:id="14" w:name="_465baefb7a2f14c4204568fdda1ba86ed831ba4"/>
      <w:r>
        <w:t xml:space="preserve">6. Post-Mortem</w:t>
      </w:r>
    </w:p>
    <w:p>
      <w:pPr>
        <w:pStyle w:val="FirstParagraph"/>
      </w:pPr>
      <w:r>
        <w:t xml:space="preserve">Within 30 days</w:t>
      </w:r>
    </w:p>
    <w:p>
      <w:pPr>
        <w:pStyle w:val="Heading2"/>
      </w:pPr>
      <w:bookmarkStart w:id="15" w:name="_reporting"/>
      <w:r>
        <w:t xml:space="preserve">7. Reporting</w:t>
      </w:r>
    </w:p>
    <w:p>
      <w:pPr>
        <w:pStyle w:val="FirstParagraph"/>
      </w:pPr>
      <w:r>
        <w:t xml:space="preserve">To Board if material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Breach Notification Procedure</dc:title>
  <dc:creator>HISN Platform</dc:creator>
  <cp:keywords>HISN, FCDOS, financial crime, decision operating system</cp:keywords>
  <dcterms:created xsi:type="dcterms:W3CDTF">2026-10-14T06:28:32Z</dcterms:created>
  <dcterms:modified xsi:type="dcterms:W3CDTF">2026-10-14T06:28:32Z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