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72062e72d01239fd8138bd3d8d987a7f922b7a"/>
      <w:r>
        <w:t xml:space="preserve">HISN Case and SAR Lifecycle Contract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Canonical implementation contract</w:t>
      </w:r>
      <w:r>
        <w:t xml:space="preserve"> </w:t>
      </w:r>
      <w:r>
        <w:rPr>
          <w:b/>
          <w:bCs/>
        </w:rPr>
        <w:t xml:space="preserve">Authority:</w:t>
      </w:r>
      <w:r>
        <w:t xml:space="preserve"> </w:t>
      </w:r>
      <w:r>
        <w:t xml:space="preserve">HISN Architecture Bible</w:t>
      </w:r>
      <w:r>
        <w:t xml:space="preserve"> </w:t>
      </w:r>
      <w:r>
        <w:rPr>
          <w:b/>
          <w:bCs/>
        </w:rPr>
        <w:t xml:space="preserve">Effective:</w:t>
      </w:r>
      <w:r>
        <w:t xml:space="preserve"> </w:t>
      </w:r>
      <w:r>
        <w:t xml:space="preserve">2026-08-26</w:t>
      </w:r>
    </w:p>
    <w:p>
      <w:pPr>
        <w:pStyle w:val="Heading2"/>
      </w:pPr>
      <w:bookmarkStart w:id="10" w:name="_8ec0d80515203c5e8b7b63053fa45838f9cd99c"/>
      <w:r>
        <w:t xml:space="preserve">Canonical Lifecycle</w:t>
      </w:r>
    </w:p>
    <w:p>
      <w:pPr>
        <w:pStyle w:val="FirstParagraph"/>
      </w:pPr>
      <w:r>
        <w:rPr>
          <w:rStyle w:val="VerbatimChar"/>
        </w:rPr>
        <w:t xml:space="preserve">Signal/Alert → Triage → Investigation → Evidence → Decision → Escalation → Reporting → Submission/Disposition → Closure → Audit</w:t>
      </w:r>
    </w:p>
    <w:p>
      <w:pPr>
        <w:pStyle w:val="Heading2"/>
      </w:pPr>
      <w:bookmarkStart w:id="11" w:name="_91fca8426c13f84baca5eb8fafe0add84e99c9a"/>
      <w:r>
        <w:t xml:space="preserve">Case Responsibilities</w:t>
      </w:r>
    </w:p>
    <w:p>
      <w:pPr>
        <w:pStyle w:val="FirstParagraph"/>
      </w:pPr>
      <w:r>
        <w:t xml:space="preserve">The platform owns:</w:t>
      </w:r>
    </w:p>
    <w:p>
      <w:pPr>
        <w:pStyle w:val="Compact"/>
        <w:numPr>
          <w:ilvl w:val="0"/>
          <w:numId w:val="1001"/>
        </w:numPr>
      </w:pPr>
      <w:r>
        <w:t xml:space="preserve">case state transitions</w:t>
      </w:r>
    </w:p>
    <w:p>
      <w:pPr>
        <w:pStyle w:val="Compact"/>
        <w:numPr>
          <w:ilvl w:val="0"/>
          <w:numId w:val="1001"/>
        </w:numPr>
      </w:pPr>
      <w:r>
        <w:t xml:space="preserve">assignment and ownership</w:t>
      </w:r>
    </w:p>
    <w:p>
      <w:pPr>
        <w:pStyle w:val="Compact"/>
        <w:numPr>
          <w:ilvl w:val="0"/>
          <w:numId w:val="1001"/>
        </w:numPr>
      </w:pPr>
      <w:r>
        <w:t xml:space="preserve">SLA metadata</w:t>
      </w:r>
    </w:p>
    <w:p>
      <w:pPr>
        <w:pStyle w:val="Compact"/>
        <w:numPr>
          <w:ilvl w:val="0"/>
          <w:numId w:val="1001"/>
        </w:numPr>
      </w:pPr>
      <w:r>
        <w:t xml:space="preserve">evidence references</w:t>
      </w:r>
    </w:p>
    <w:p>
      <w:pPr>
        <w:pStyle w:val="Compact"/>
        <w:numPr>
          <w:ilvl w:val="0"/>
          <w:numId w:val="1001"/>
        </w:numPr>
      </w:pPr>
      <w:r>
        <w:t xml:space="preserve">decision linkage</w:t>
      </w:r>
    </w:p>
    <w:p>
      <w:pPr>
        <w:pStyle w:val="Compact"/>
        <w:numPr>
          <w:ilvl w:val="0"/>
          <w:numId w:val="1001"/>
        </w:numPr>
      </w:pPr>
      <w:r>
        <w:t xml:space="preserve">escalation</w:t>
      </w:r>
    </w:p>
    <w:p>
      <w:pPr>
        <w:pStyle w:val="Compact"/>
        <w:numPr>
          <w:ilvl w:val="0"/>
          <w:numId w:val="1001"/>
        </w:numPr>
      </w:pPr>
      <w:r>
        <w:t xml:space="preserve">closure reason</w:t>
      </w:r>
    </w:p>
    <w:p>
      <w:pPr>
        <w:pStyle w:val="Compact"/>
        <w:numPr>
          <w:ilvl w:val="0"/>
          <w:numId w:val="1001"/>
        </w:numPr>
      </w:pPr>
      <w:r>
        <w:t xml:space="preserve">audit trail</w:t>
      </w:r>
    </w:p>
    <w:p>
      <w:pPr>
        <w:pStyle w:val="Heading2"/>
      </w:pPr>
      <w:bookmarkStart w:id="12" w:name="_477b14e98777b080da6ed51b248ecfb9ac2a6fb"/>
      <w:r>
        <w:t xml:space="preserve">SAR/STR Responsibilities</w:t>
      </w:r>
    </w:p>
    <w:p>
      <w:pPr>
        <w:pStyle w:val="FirstParagraph"/>
      </w:pPr>
      <w:r>
        <w:t xml:space="preserve">The platform owns the executable reporting lifecycle:</w:t>
      </w:r>
    </w:p>
    <w:p>
      <w:pPr>
        <w:pStyle w:val="Compact"/>
        <w:numPr>
          <w:ilvl w:val="0"/>
          <w:numId w:val="1002"/>
        </w:numPr>
      </w:pPr>
      <w:r>
        <w:t xml:space="preserve">Draft</w:t>
      </w:r>
    </w:p>
    <w:p>
      <w:pPr>
        <w:pStyle w:val="Compact"/>
        <w:numPr>
          <w:ilvl w:val="0"/>
          <w:numId w:val="1002"/>
        </w:numPr>
      </w:pPr>
      <w:r>
        <w:t xml:space="preserve">Evidence binding</w:t>
      </w:r>
    </w:p>
    <w:p>
      <w:pPr>
        <w:pStyle w:val="Compact"/>
        <w:numPr>
          <w:ilvl w:val="0"/>
          <w:numId w:val="1002"/>
        </w:numPr>
      </w:pPr>
      <w:r>
        <w:t xml:space="preserve">Review</w:t>
      </w:r>
    </w:p>
    <w:p>
      <w:pPr>
        <w:pStyle w:val="Compact"/>
        <w:numPr>
          <w:ilvl w:val="0"/>
          <w:numId w:val="1002"/>
        </w:numPr>
      </w:pPr>
      <w:r>
        <w:t xml:space="preserve">Approval</w:t>
      </w:r>
    </w:p>
    <w:p>
      <w:pPr>
        <w:pStyle w:val="Compact"/>
        <w:numPr>
          <w:ilvl w:val="0"/>
          <w:numId w:val="1002"/>
        </w:numPr>
      </w:pPr>
      <w:r>
        <w:t xml:space="preserve">Submission or submission-ready state</w:t>
      </w:r>
    </w:p>
    <w:p>
      <w:pPr>
        <w:pStyle w:val="Compact"/>
        <w:numPr>
          <w:ilvl w:val="0"/>
          <w:numId w:val="1002"/>
        </w:numPr>
      </w:pPr>
      <w:r>
        <w:t xml:space="preserve">External reference/status</w:t>
      </w:r>
    </w:p>
    <w:p>
      <w:pPr>
        <w:pStyle w:val="Compact"/>
        <w:numPr>
          <w:ilvl w:val="0"/>
          <w:numId w:val="1002"/>
        </w:numPr>
      </w:pPr>
      <w:r>
        <w:t xml:space="preserve">Audit</w:t>
      </w:r>
    </w:p>
    <w:p>
      <w:pPr>
        <w:pStyle w:val="FirstParagraph"/>
      </w:pPr>
      <w:r>
        <w:t xml:space="preserve">Jurisdiction-specific legal interpretation and reporting requirements remain owned by the Architecture Bible regulatory knowledge base.</w:t>
      </w:r>
    </w:p>
    <w:p>
      <w:pPr>
        <w:pStyle w:val="Heading2"/>
      </w:pPr>
      <w:bookmarkStart w:id="13" w:name="_ff7f3a4da66629f29cf1318ef1c6a5b168b4af6"/>
      <w:r>
        <w:t xml:space="preserve">Boundary Rules</w:t>
      </w:r>
    </w:p>
    <w:p>
      <w:pPr>
        <w:pStyle w:val="Compact"/>
        <w:numPr>
          <w:ilvl w:val="0"/>
          <w:numId w:val="1003"/>
        </w:numPr>
      </w:pPr>
      <w:r>
        <w:t xml:space="preserve">Frontend renders and orchestrates user interaction only.</w:t>
      </w:r>
    </w:p>
    <w:p>
      <w:pPr>
        <w:pStyle w:val="Compact"/>
        <w:numPr>
          <w:ilvl w:val="0"/>
          <w:numId w:val="1003"/>
        </w:numPr>
      </w:pPr>
      <w:r>
        <w:t xml:space="preserve">Fares generates source banking events and validation scenarios only.</w:t>
      </w:r>
    </w:p>
    <w:p>
      <w:pPr>
        <w:pStyle w:val="Compact"/>
        <w:numPr>
          <w:ilvl w:val="0"/>
          <w:numId w:val="1003"/>
        </w:numPr>
      </w:pPr>
      <w:r>
        <w:t xml:space="preserve">No duplicate case state machine may exist in another repository.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SAR LIFECYCLE CONTRACT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