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CROSS-BORDER DATA TRANSFER POLICY</w:t>
      </w:r>
    </w:p>
    <w:p>
      <w:pPr>
        <w:pStyle w:val="Heading2"/>
      </w:pPr>
      <w:bookmarkStart w:id="9" w:name="_default"/>
      <w:r>
        <w:t xml:space="preserve">1. Default</w:t>
      </w:r>
    </w:p>
    <w:p>
      <w:pPr>
        <w:pStyle w:val="FirstParagraph"/>
      </w:pPr>
      <w:r>
        <w:t xml:space="preserve">KSA data residency preferred</w:t>
      </w:r>
    </w:p>
    <w:p>
      <w:pPr>
        <w:pStyle w:val="Heading2"/>
      </w:pPr>
      <w:bookmarkStart w:id="10" w:name="_f484e179243b4a5cda2a5de9867bfb13af1b1d8"/>
      <w:r>
        <w:t xml:space="preserve">2. Permitted Transfers</w:t>
      </w:r>
    </w:p>
    <w:p>
      <w:pPr>
        <w:pStyle w:val="Compact"/>
        <w:numPr>
          <w:ilvl w:val="0"/>
          <w:numId w:val="1001"/>
        </w:numPr>
      </w:pPr>
      <w:r>
        <w:t xml:space="preserve">Adequacy</w:t>
      </w:r>
    </w:p>
    <w:p>
      <w:pPr>
        <w:pStyle w:val="Compact"/>
        <w:numPr>
          <w:ilvl w:val="0"/>
          <w:numId w:val="1001"/>
        </w:numPr>
      </w:pPr>
      <w:r>
        <w:t xml:space="preserve">SCCs</w:t>
      </w:r>
    </w:p>
    <w:p>
      <w:pPr>
        <w:pStyle w:val="Compact"/>
        <w:numPr>
          <w:ilvl w:val="0"/>
          <w:numId w:val="1001"/>
        </w:numPr>
      </w:pPr>
      <w:r>
        <w:t xml:space="preserve">Explicit consent</w:t>
      </w:r>
    </w:p>
    <w:p>
      <w:pPr>
        <w:pStyle w:val="Heading2"/>
      </w:pPr>
      <w:bookmarkStart w:id="11" w:name="_assessment"/>
      <w:r>
        <w:t xml:space="preserve">3. Assessment</w:t>
      </w:r>
    </w:p>
    <w:p>
      <w:pPr>
        <w:pStyle w:val="FirstParagraph"/>
      </w:pPr>
      <w:r>
        <w:t xml:space="preserve">Case-by-case</w:t>
      </w:r>
    </w:p>
    <w:p>
      <w:pPr>
        <w:pStyle w:val="Heading2"/>
      </w:pPr>
      <w:bookmarkStart w:id="12" w:name="_documentation"/>
      <w:r>
        <w:t xml:space="preserve">4. Documentation</w:t>
      </w:r>
    </w:p>
    <w:p>
      <w:pPr>
        <w:pStyle w:val="FirstParagraph"/>
      </w:pPr>
      <w:r>
        <w:t xml:space="preserve">TIA (Transfer Impact Assessment)</w:t>
      </w:r>
    </w:p>
    <w:p>
      <w:pPr>
        <w:pStyle w:val="Heading2"/>
      </w:pPr>
      <w:bookmarkStart w:id="13" w:name="_register"/>
      <w:r>
        <w:t xml:space="preserve">5. Register</w:t>
      </w:r>
    </w:p>
    <w:p>
      <w:pPr>
        <w:pStyle w:val="FirstParagraph"/>
      </w:pPr>
      <w:r>
        <w:t xml:space="preserve">Maintained by DPO</w:t>
      </w:r>
    </w:p>
    <w:p>
      <w:pPr>
        <w:pStyle w:val="Heading2"/>
      </w:pPr>
      <w:bookmarkStart w:id="14" w:name="_review"/>
      <w:r>
        <w:t xml:space="preserve">6. Review</w:t>
      </w:r>
    </w:p>
    <w:p>
      <w:pPr>
        <w:pStyle w:val="FirstParagraph"/>
      </w:pPr>
      <w:r>
        <w:t xml:space="preserve">Annual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 Border Transfer Policy</dc:title>
  <dc:creator>HISN Platform</dc:creator>
  <cp:keywords>HISN, FCDOS, financial crime, decision operating system</cp:keywords>
  <dcterms:created xsi:type="dcterms:W3CDTF">2026-10-14T06:28:32Z</dcterms:created>
  <dcterms:modified xsi:type="dcterms:W3CDTF">2026-10-14T06:28:32Z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