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DATA CLASSIFICATION POLICY</w:t>
      </w:r>
    </w:p>
    <w:p>
      <w:pPr>
        <w:pStyle w:val="Heading2"/>
      </w:pPr>
      <w:bookmarkStart w:id="9" w:name="_levels"/>
      <w:r>
        <w:t xml:space="preserve">Levels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  <w:tc>
          <w:tcPr/>
          <w:p>
            <w:pPr>
              <w:pStyle w:val="Compact"/>
            </w:pPr>
            <w:r>
              <w:t xml:space="preserve">Controls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</w:t>
            </w:r>
          </w:p>
        </w:tc>
        <w:tc>
          <w:tcPr/>
          <w:p>
            <w:pPr>
              <w:pStyle w:val="Compact"/>
            </w:pPr>
            <w:r>
              <w:t xml:space="preserve">Free to share</w:t>
            </w:r>
          </w:p>
        </w:tc>
        <w:tc>
          <w:tcPr/>
          <w:p>
            <w:pPr>
              <w:pStyle w:val="Compact"/>
            </w:pPr>
            <w:r>
              <w:t xml:space="preserve">Website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</w:t>
            </w:r>
          </w:p>
        </w:tc>
        <w:tc>
          <w:tcPr/>
          <w:p>
            <w:pPr>
              <w:pStyle w:val="Compact"/>
            </w:pPr>
            <w:r>
              <w:t xml:space="preserve">Business data</w:t>
            </w:r>
          </w:p>
        </w:tc>
        <w:tc>
          <w:tcPr/>
          <w:p>
            <w:pPr>
              <w:pStyle w:val="Compact"/>
            </w:pPr>
            <w:r>
              <w:t xml:space="preserve">Roadmap</w:t>
            </w:r>
          </w:p>
        </w:tc>
        <w:tc>
          <w:tcPr/>
          <w:p>
            <w:pPr>
              <w:pStyle w:val="Compact"/>
            </w:pPr>
            <w:r>
              <w:t xml:space="preserve">Basic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Confidential</w:t>
            </w:r>
          </w:p>
        </w:tc>
        <w:tc>
          <w:tcPr/>
          <w:p>
            <w:pPr>
              <w:pStyle w:val="Compact"/>
            </w:pPr>
            <w:r>
              <w:t xml:space="preserve">Sensitive</w:t>
            </w:r>
          </w:p>
        </w:tc>
        <w:tc>
          <w:tcPr/>
          <w:p>
            <w:pPr>
              <w:pStyle w:val="Compact"/>
            </w:pPr>
            <w:r>
              <w:t xml:space="preserve">Customer data</w:t>
            </w:r>
          </w:p>
        </w:tc>
        <w:tc>
          <w:tcPr/>
          <w:p>
            <w:pPr>
              <w:pStyle w:val="Compact"/>
            </w:pPr>
            <w:r>
              <w:t xml:space="preserve">Encryption, RBAC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Restricted</w:t>
            </w:r>
          </w:p>
        </w:tc>
        <w:tc>
          <w:tcPr/>
          <w:p>
            <w:pPr>
              <w:pStyle w:val="Compact"/>
            </w:pPr>
            <w:r>
              <w:t xml:space="preserve">Highly sensitive</w:t>
            </w:r>
          </w:p>
        </w:tc>
        <w:tc>
          <w:tcPr/>
          <w:p>
            <w:pPr>
              <w:pStyle w:val="Compact"/>
            </w:pPr>
            <w:r>
              <w:t xml:space="preserve">PII, credentials</w:t>
            </w:r>
          </w:p>
        </w:tc>
        <w:tc>
          <w:tcPr/>
          <w:p>
            <w:pPr>
              <w:pStyle w:val="Compact"/>
            </w:pPr>
            <w:r>
              <w:t xml:space="preserve">Encryption, RLS, audit</w:t>
            </w:r>
          </w:p>
        </w:tc>
      </w:tr>
    </w:tbl>
    <w:p>
      <w:pPr>
        <w:pStyle w:val="Heading2"/>
      </w:pPr>
      <w:bookmarkStart w:id="10" w:name="_handling"/>
      <w:r>
        <w:t xml:space="preserve">Handling</w:t>
      </w:r>
    </w:p>
    <w:p>
      <w:pPr>
        <w:pStyle w:val="Compact"/>
        <w:numPr>
          <w:ilvl w:val="0"/>
          <w:numId w:val="1001"/>
        </w:numPr>
      </w:pPr>
      <w:r>
        <w:t xml:space="preserve">At rest: AES-256</w:t>
      </w:r>
    </w:p>
    <w:p>
      <w:pPr>
        <w:pStyle w:val="Compact"/>
        <w:numPr>
          <w:ilvl w:val="0"/>
          <w:numId w:val="1001"/>
        </w:numPr>
      </w:pPr>
      <w:r>
        <w:t xml:space="preserve">In transit: TLS 1.3</w:t>
      </w:r>
    </w:p>
    <w:p>
      <w:pPr>
        <w:pStyle w:val="Compact"/>
        <w:numPr>
          <w:ilvl w:val="0"/>
          <w:numId w:val="1001"/>
        </w:numPr>
      </w:pPr>
      <w:r>
        <w:t xml:space="preserve">Access: least privilege</w:t>
      </w:r>
    </w:p>
    <w:p>
      <w:pPr>
        <w:pStyle w:val="Compact"/>
        <w:numPr>
          <w:ilvl w:val="0"/>
          <w:numId w:val="1001"/>
        </w:numPr>
      </w:pPr>
      <w:r>
        <w:t xml:space="preserve">Retention: per schedule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Classification Policy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