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BlockText"/>
      </w:pPr>
      <w:r>
        <w:rPr>
          <w:b/>
          <w:bCs/>
        </w:rPr>
        <w:t xml:space="preserve">SUPERSEDED:</w:t>
      </w:r>
      <w:r>
        <w:t xml:space="preserve"> </w:t>
      </w:r>
      <w:r>
        <w:t xml:space="preserve">The current AML-59 evidence record is</w:t>
      </w:r>
      <w:r>
        <w:t xml:space="preserve"> </w:t>
      </w:r>
      <w:hyperlink r:id="rId9">
        <w:r>
          <w:rPr>
            <w:rStyle w:val="VerbatimChar"/>
          </w:rPr>
          <w:t xml:space="preserve">HISN_AML59_E2E_ASSURANCE_2026-09-27.md</w:t>
        </w:r>
      </w:hyperlink>
      <w:r>
        <w:t xml:space="preserve">, tied to Platform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6e3d41ce48757cfc8d2647a6f0396f81a164fb5d</w:t>
      </w:r>
      <w:r>
        <w:t xml:space="preserve"> </w:t>
      </w:r>
      <w:r>
        <w:t xml:space="preserve">with 115 targeted passes, 693 full-suite passes, and 52/52 AML Golden Path E2E passes. This 2026-09-26 file remains historical context only.</w:t>
      </w:r>
      <w:r>
        <w:t xml:space="preserve"># HISN AML-59 Assurance Evidence — 2026-09-26</w:t>
      </w:r>
    </w:p>
    <w:p>
      <w:pPr>
        <w:pStyle w:val="Heading2"/>
      </w:pPr>
      <w:bookmarkStart w:id="10" w:name="_purpose"/>
      <w:r>
        <w:t xml:space="preserve">1. Purpose</w:t>
      </w:r>
    </w:p>
    <w:p>
      <w:pPr>
        <w:pStyle w:val="FirstParagraph"/>
      </w:pPr>
      <w:r>
        <w:t xml:space="preserve">This document is the canonical evidence record for the AML 59 assurance population on the</w:t>
      </w:r>
      <w:r>
        <w:t xml:space="preserve"> </w:t>
      </w:r>
      <w:r>
        <w:t xml:space="preserve">canonical branch:</w:t>
      </w:r>
    </w:p>
    <w:p>
      <w:pPr>
        <w:pStyle w:val="BodyText"/>
      </w:pPr>
      <w:r>
        <w:rPr>
          <w:rStyle w:val="VerbatimChar"/>
        </w:rPr>
        <w:t xml:space="preserve">main</w:t>
      </w:r>
    </w:p>
    <w:p>
      <w:pPr>
        <w:pStyle w:val="BodyText"/>
      </w:pPr>
      <w:r>
        <w:t xml:space="preserve">It records the exact implementation head, executed local assurance commands, observed results,</w:t>
      </w:r>
      <w:r>
        <w:t xml:space="preserve"> </w:t>
      </w:r>
      <w:r>
        <w:t xml:space="preserve">architecture boundaries, and evidence limitations.</w:t>
      </w:r>
    </w:p>
    <w:p>
      <w:pPr>
        <w:pStyle w:val="BodyText"/>
      </w:pPr>
      <w:r>
        <w:t xml:space="preserve">This is an engineering runtime/assurance record.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 </w:t>
      </w:r>
      <w:r>
        <w:t xml:space="preserve">means enabled in the HISN canonical runtime/control registry under the baseline policy.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SAMA certification, SAFIU/GoAML production-submission certificate, penetration-test report, customer/UAT acceptance, or production ML approval.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5297eaeff676ad34731a5ba1ca468e361d3713b"/>
      <w:r>
        <w:t xml:space="preserve">2. Exact Evidence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Observed 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Repository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Abdo-Tec/hisn-platform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Branch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Historical assurance HEAD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136f716a1ca6aed8d8c67caa864c89e2a868ffab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Current ACTIVE-state 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</w:t>
            </w:r>
            <w:r>
              <w:t xml:space="preserve"> </w:t>
            </w:r>
            <w:r>
              <w:t xml:space="preserve">(post-merge active-state commits)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 PR</w:t>
            </w:r>
          </w:p>
        </w:tc>
        <w:tc>
          <w:tcPr/>
          <w:p>
            <w:pPr>
              <w:pStyle w:val="Compact"/>
            </w:pPr>
            <w:r>
              <w:t xml:space="preserve">#126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Assurance population</w:t>
            </w:r>
          </w:p>
        </w:tc>
        <w:tc>
          <w:tcPr/>
          <w:p>
            <w:pPr>
              <w:pStyle w:val="Compact"/>
            </w:pPr>
            <w:r>
              <w:t xml:space="preserve">52 frozen AML/TM scenarios + 7 operating capabilities = 59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backend E2E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tests/test_e2e_transparent_golden_path.py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scenario execution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src/domains/aml/scenarios/execution.py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Explicit runtime composition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src/bootstrap/container.py</w:t>
            </w:r>
          </w:p>
        </w:tc>
      </w:tr>
    </w:tbl>
    <w:p>
      <w:pPr>
        <w:pStyle w:val="FirstParagraph"/>
      </w:pPr>
      <w:r>
        <w:t xml:space="preserve">The AML-59 implementation has been merged into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 The current active-state changes are now applied directly to the canonical branch.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ab6671c8bb42d3b3378bb43b98c5b86daaa0eb6"/>
      <w:r>
        <w:t xml:space="preserve">3. Frozen 59 Population</w:t>
      </w:r>
    </w:p>
    <w:p>
      <w:pPr>
        <w:pStyle w:val="FirstParagraph"/>
      </w:pPr>
      <w:r>
        <w:t xml:space="preserve">The AML inventory is intentionally fixed at</w:t>
      </w:r>
      <w:r>
        <w:t xml:space="preserve"> </w:t>
      </w:r>
      <w:r>
        <w:rPr>
          <w:b/>
          <w:bCs/>
        </w:rPr>
        <w:t xml:space="preserve">52 scenario IDs</w:t>
      </w:r>
      <w:r>
        <w:t xml:space="preserve">. No TM-053+ inventory was</w:t>
      </w:r>
      <w:r>
        <w:t xml:space="preserve"> </w:t>
      </w:r>
      <w:r>
        <w:t xml:space="preserve">introduced.</w:t>
      </w:r>
    </w:p>
    <w:p>
      <w:pPr>
        <w:pStyle w:val="BodyText"/>
      </w:pPr>
      <w:r>
        <w:t xml:space="preserve">The current runtime/control population is:</w:t>
      </w:r>
    </w:p>
    <w:p>
      <w:pPr>
        <w:pStyle w:val="SourceCode"/>
      </w:pPr>
      <w:r>
        <w:rPr>
          <w:rStyle w:val="VerbatimChar"/>
        </w:rPr>
        <w:t xml:space="preserve">52 ACTIVE AML/TM scenarios</w:t>
      </w:r>
      <w:r>
        <w:br/>
      </w:r>
      <w:r>
        <w:rPr>
          <w:rStyle w:val="VerbatimChar"/>
        </w:rPr>
        <w:t xml:space="preserve">        +</w:t>
      </w:r>
      <w:r>
        <w:br/>
      </w:r>
      <w:r>
        <w:rPr>
          <w:rStyle w:val="VerbatimChar"/>
        </w:rPr>
        <w:t xml:space="preserve">7 ACTIVE operating capabilities</w:t>
      </w:r>
      <w:r>
        <w:br/>
      </w:r>
      <w:r>
        <w:rPr>
          <w:rStyle w:val="VerbatimChar"/>
        </w:rPr>
        <w:t xml:space="preserve">        =</w:t>
      </w:r>
      <w:r>
        <w:br/>
      </w:r>
      <w:r>
        <w:rPr>
          <w:rStyle w:val="VerbatimChar"/>
        </w:rPr>
        <w:t xml:space="preserve">59 ACTIVE runtime/control items</w:t>
      </w:r>
    </w:p>
    <w:p>
      <w:pPr>
        <w:pStyle w:val="FirstParagraph"/>
      </w:pPr>
      <w:r>
        <w:t xml:space="preserve">The 7 capability IDs are:</w:t>
      </w:r>
    </w:p>
    <w:p>
      <w:pPr>
        <w:pStyle w:val="Compact"/>
        <w:numPr>
          <w:ilvl w:val="0"/>
          <w:numId w:val="1001"/>
        </w:numPr>
      </w:pPr>
      <w:r>
        <w:t xml:space="preserve">CAP-001 ALERT_CASE_STR</w:t>
      </w:r>
    </w:p>
    <w:p>
      <w:pPr>
        <w:pStyle w:val="Compact"/>
        <w:numPr>
          <w:ilvl w:val="0"/>
          <w:numId w:val="1001"/>
        </w:numPr>
      </w:pPr>
      <w:r>
        <w:t xml:space="preserve">CAP-002 EVIDENCE_REPLAY</w:t>
      </w:r>
    </w:p>
    <w:p>
      <w:pPr>
        <w:pStyle w:val="Compact"/>
        <w:numPr>
          <w:ilvl w:val="0"/>
          <w:numId w:val="1001"/>
        </w:numPr>
      </w:pPr>
      <w:r>
        <w:t xml:space="preserve">CAP-003 MAKER_CHECKER</w:t>
      </w:r>
    </w:p>
    <w:p>
      <w:pPr>
        <w:pStyle w:val="Compact"/>
        <w:numPr>
          <w:ilvl w:val="0"/>
          <w:numId w:val="1001"/>
        </w:numPr>
      </w:pPr>
      <w:r>
        <w:t xml:space="preserve">CAP-004 SCENARIO_POLICY_VERSIONING</w:t>
      </w:r>
    </w:p>
    <w:p>
      <w:pPr>
        <w:pStyle w:val="Compact"/>
        <w:numPr>
          <w:ilvl w:val="0"/>
          <w:numId w:val="1001"/>
        </w:numPr>
      </w:pPr>
      <w:r>
        <w:t xml:space="preserve">CAP-005 TFS_SANCTIONS</w:t>
      </w:r>
    </w:p>
    <w:p>
      <w:pPr>
        <w:pStyle w:val="Compact"/>
        <w:numPr>
          <w:ilvl w:val="0"/>
          <w:numId w:val="1001"/>
        </w:numPr>
      </w:pPr>
      <w:r>
        <w:t xml:space="preserve">CAP-006 WIRE_TRANSFER_INTELLIGENCE</w:t>
      </w:r>
    </w:p>
    <w:p>
      <w:pPr>
        <w:pStyle w:val="Compact"/>
        <w:numPr>
          <w:ilvl w:val="0"/>
          <w:numId w:val="1001"/>
        </w:numPr>
      </w:pPr>
      <w:r>
        <w:t xml:space="preserve">CAP-007 BEHAVIORAL_ML</w:t>
      </w:r>
    </w:p>
    <w:p>
      <w:pPr>
        <w:pStyle w:val="FirstParagraph"/>
      </w:pPr>
      <w:r>
        <w:t xml:space="preserve">The 59 population is an ACTIVE runtime/control population,</w:t>
      </w:r>
      <w:r>
        <w:t xml:space="preserve"> </w:t>
      </w:r>
      <w:r>
        <w:rPr>
          <w:b/>
          <w:bCs/>
        </w:rPr>
        <w:t xml:space="preserve">not 59 separate engines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ef877e0f90dcdef0008174b9ea83eb91a86acdc"/>
      <w:r>
        <w:t xml:space="preserve">4. Canonical Architecture Boundary</w:t>
      </w:r>
    </w:p>
    <w:p>
      <w:pPr>
        <w:pStyle w:val="FirstParagraph"/>
      </w:pPr>
      <w:r>
        <w:t xml:space="preserve">The canonical execution model is:</w:t>
      </w:r>
    </w:p>
    <w:p>
      <w:pPr>
        <w:pStyle w:val="SourceCode"/>
      </w:pPr>
      <w:r>
        <w:rPr>
          <w:rStyle w:val="VerbatimChar"/>
        </w:rPr>
        <w:t xml:space="preserve">/api/evaluate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Authorization / CanonicalContext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RuntimeEngine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AML Runtime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AML Scenario Execution Engine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Policy Instance + Canonical Rule / Scenario Predicate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Findings + Scenario/Policy Evidence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Decision DNA + Audit + Case lineage</w:t>
      </w:r>
    </w:p>
    <w:p>
      <w:pPr>
        <w:pStyle w:val="FirstParagraph"/>
      </w:pPr>
      <w:r>
        <w:t xml:space="preserve">Rules:</w:t>
      </w:r>
    </w:p>
    <w:p>
      <w:pPr>
        <w:pStyle w:val="Compact"/>
        <w:numPr>
          <w:ilvl w:val="0"/>
          <w:numId w:val="1002"/>
        </w:numPr>
      </w:pPr>
      <w:r>
        <w:t xml:space="preserve">Backend/runtime code is the decision and evidence authority.</w:t>
      </w:r>
    </w:p>
    <w:p>
      <w:pPr>
        <w:pStyle w:val="Compact"/>
        <w:numPr>
          <w:ilvl w:val="0"/>
          <w:numId w:val="1002"/>
        </w:numPr>
      </w:pPr>
      <w:r>
        <w:t xml:space="preserve">52 scenario IDs do not imply 52 engines.</w:t>
      </w:r>
    </w:p>
    <w:p>
      <w:pPr>
        <w:pStyle w:val="Compact"/>
        <w:numPr>
          <w:ilvl w:val="0"/>
          <w:numId w:val="1002"/>
        </w:numPr>
      </w:pPr>
      <w:r>
        <w:t xml:space="preserve">Engine-backed scenarios remain owned by their canonical engines.</w:t>
      </w:r>
    </w:p>
    <w:p>
      <w:pPr>
        <w:pStyle w:val="Compact"/>
        <w:numPr>
          <w:ilvl w:val="0"/>
          <w:numId w:val="1002"/>
        </w:numPr>
      </w:pPr>
      <w:r>
        <w:t xml:space="preserve">Generic scenario contracts must not duplicate Graph, Fraud, Sanctions, KYC, KYB, or PEP engines.</w:t>
      </w:r>
    </w:p>
    <w:p>
      <w:pPr>
        <w:pStyle w:val="Compact"/>
        <w:numPr>
          <w:ilvl w:val="0"/>
          <w:numId w:val="1002"/>
        </w:numPr>
      </w:pPr>
      <w:r>
        <w:t xml:space="preserve">The frontend does not own AML decisioning or Decision DNA authority.</w:t>
      </w:r>
    </w:p>
    <w:p>
      <w:pPr>
        <w:pStyle w:val="Compact"/>
        <w:numPr>
          <w:ilvl w:val="0"/>
          <w:numId w:val="1002"/>
        </w:numPr>
      </w:pPr>
      <w:r>
        <w:t xml:space="preserve">The existing Golden Path E2E file remains the single backend E2E authority.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tests/architecture/test_no_parallel_e2e.py</w:t>
      </w:r>
      <w:r>
        <w:t xml:space="preserve"> </w:t>
      </w:r>
      <w:r>
        <w:t xml:space="preserve">remains the guard against parallel E2E ownership.</w:t>
      </w:r>
    </w:p>
    <w:p>
      <w:pPr>
        <w:pStyle w:val="Compact"/>
        <w:numPr>
          <w:ilvl w:val="0"/>
          <w:numId w:val="1002"/>
        </w:numPr>
      </w:pPr>
      <w:r>
        <w:t xml:space="preserve">AI/ML signals remain governed analytical inputs; they are not autonomous regulatory authority.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7855ef849a2892e6ab5239dccb5a7feeab7bbc4"/>
      <w:r>
        <w:t xml:space="preserve">5. Local Focused Evidence</w:t>
      </w:r>
    </w:p>
    <w:p>
      <w:pPr>
        <w:pStyle w:val="FirstParagraph"/>
      </w:pPr>
      <w:r>
        <w:t xml:space="preserve">Before the 59-item and full-suite gates, the direct TM-001 path was isolated and fixed.</w:t>
      </w:r>
    </w:p>
    <w:p>
      <w:pPr>
        <w:pStyle w:val="Heading3"/>
      </w:pPr>
      <w:bookmarkStart w:id="15" w:name="_ae63c8e380c82ffada6e7da5342a1cb6df45893"/>
      <w:r>
        <w:t xml:space="preserve">Focused TM-001</w:t>
      </w:r>
    </w:p>
    <w:p>
      <w:pPr>
        <w:pStyle w:val="FirstParagraph"/>
      </w:pPr>
      <w:r>
        <w:t xml:space="preserve">Observed:</w:t>
      </w:r>
    </w:p>
    <w:p>
      <w:pPr>
        <w:pStyle w:val="SourceCode"/>
      </w:pPr>
      <w:r>
        <w:rPr>
          <w:rStyle w:val="VerbatimChar"/>
        </w:rPr>
        <w:t xml:space="preserve">2 passed in 0.96s</w:t>
      </w:r>
    </w:p>
    <w:p>
      <w:pPr>
        <w:pStyle w:val="FirstParagraph"/>
      </w:pPr>
      <w:r>
        <w:t xml:space="preserve">The coverage crossed:</w:t>
      </w:r>
    </w:p>
    <w:p>
      <w:pPr>
        <w:pStyle w:val="SourceCode"/>
      </w:pPr>
      <w:r>
        <w:rPr>
          <w:rStyle w:val="VerbatimChar"/>
        </w:rPr>
        <w:t xml:space="preserve">Policy Instance</w:t>
      </w:r>
      <w:r>
        <w:br/>
      </w:r>
      <w:r>
        <w:rPr>
          <w:rStyle w:val="VerbatimChar"/>
        </w:rPr>
        <w:t xml:space="preserve">→ tenant-scoped history</w:t>
      </w:r>
      <w:r>
        <w:br/>
      </w:r>
      <w:r>
        <w:rPr>
          <w:rStyle w:val="VerbatimChar"/>
        </w:rPr>
        <w:t xml:space="preserve">→ TM-001 evaluation</w:t>
      </w:r>
      <w:r>
        <w:br/>
      </w:r>
      <w:r>
        <w:rPr>
          <w:rStyle w:val="VerbatimChar"/>
        </w:rPr>
        <w:t xml:space="preserve">→ finding</w:t>
      </w:r>
      <w:r>
        <w:br/>
      </w:r>
      <w:r>
        <w:rPr>
          <w:rStyle w:val="VerbatimChar"/>
        </w:rPr>
        <w:t xml:space="preserve">→ scenario/version/policy evidence</w:t>
      </w:r>
      <w:r>
        <w:br/>
      </w:r>
      <w:r>
        <w:rPr>
          <w:rStyle w:val="VerbatimChar"/>
        </w:rPr>
        <w:t xml:space="preserve">→ Golden Path API</w:t>
      </w:r>
    </w:p>
    <w:p>
      <w:pPr>
        <w:pStyle w:val="Heading3"/>
      </w:pPr>
      <w:bookmarkStart w:id="16" w:name="_381b50e58f3a44e1583ef34b60f5d9e103b2f63"/>
      <w:r>
        <w:t xml:space="preserve">Tenant-history regression + TM-001</w:t>
      </w:r>
    </w:p>
    <w:p>
      <w:pPr>
        <w:pStyle w:val="FirstParagraph"/>
      </w:pPr>
      <w:r>
        <w:t xml:space="preserve">Observed:</w:t>
      </w:r>
    </w:p>
    <w:p>
      <w:pPr>
        <w:pStyle w:val="SourceCode"/>
      </w:pPr>
      <w:r>
        <w:rPr>
          <w:rStyle w:val="VerbatimChar"/>
        </w:rPr>
        <w:t xml:space="preserve">6 passed in 0.92s</w:t>
      </w:r>
    </w:p>
    <w:p>
      <w:pPr>
        <w:pStyle w:val="FirstParagraph"/>
      </w:pPr>
      <w:r>
        <w:t xml:space="preserve">This closed the compatibility issue between the production</w:t>
      </w:r>
      <w:r>
        <w:t xml:space="preserve"> </w:t>
      </w:r>
      <w:r>
        <w:rPr>
          <w:rStyle w:val="VerbatimChar"/>
        </w:rPr>
        <w:t xml:space="preserve">RealDictCursor</w:t>
      </w:r>
      <w:r>
        <w:t xml:space="preserve"> </w:t>
      </w:r>
      <w:r>
        <w:t xml:space="preserve">result shape and</w:t>
      </w:r>
      <w:r>
        <w:t xml:space="preserve"> </w:t>
      </w:r>
      <w:r>
        <w:t xml:space="preserve">the tuple-shaped fake cursor used by the existing tenant-history unit tests.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7" w:name="_5c5b2dafae48bb10502b9f4fbe5a9a530ebe5d2"/>
      <w:r>
        <w:t xml:space="preserve">6. AML-59 Targeted Assurance</w:t>
      </w:r>
    </w:p>
    <w:p>
      <w:pPr>
        <w:pStyle w:val="FirstParagraph"/>
      </w:pPr>
      <w:r>
        <w:t xml:space="preserve">Exact local command:</w:t>
      </w:r>
    </w:p>
    <w:p>
      <w:pPr>
        <w:pStyle w:val="SourceCode"/>
      </w:pPr>
      <w:r>
        <w:rPr>
          <w:rStyle w:val="ExtensionTok"/>
        </w:rPr>
        <w:t xml:space="preserve">pytest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tests/test_aml_legacy_seam_closure.py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tests/test_aml_execution_model.py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tests/test_aml_scenario_registry.py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tests/test_aml_52_executable_contracts.py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tests/test_aml_bank_grade_assurance.py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tests/test_aml_bank_grade_59_registry.py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tests/test_gate04b_aml_scenarios.py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tests/test_e2e_transparent_golden_path.py</w:t>
      </w:r>
    </w:p>
    <w:p>
      <w:pPr>
        <w:pStyle w:val="FirstParagraph"/>
      </w:pPr>
      <w:r>
        <w:t xml:space="preserve">Observed result:</w:t>
      </w:r>
    </w:p>
    <w:p>
      <w:pPr>
        <w:pStyle w:val="SourceCode"/>
      </w:pPr>
      <w:r>
        <w:rPr>
          <w:rStyle w:val="VerbatimChar"/>
        </w:rPr>
        <w:t xml:space="preserve">114 passed in 11.05s</w:t>
      </w:r>
    </w:p>
    <w:p>
      <w:pPr>
        <w:pStyle w:val="FirstParagraph"/>
      </w:pPr>
      <w:r>
        <w:t xml:space="preserve">No failure or error was observed in this targeted gate.</w:t>
      </w:r>
    </w:p>
    <w:p>
      <w:pPr>
        <w:pStyle w:val="BodyText"/>
      </w:pPr>
      <w:r>
        <w:t xml:space="preserve">This is the direct executable evidence captured for the pre-activation implementation head</w:t>
      </w:r>
      <w:r>
        <w:t xml:space="preserve"> </w:t>
      </w:r>
      <w:r>
        <w:rPr>
          <w:rStyle w:val="VerbatimChar"/>
        </w:rPr>
        <w:t xml:space="preserve">136f716a</w:t>
      </w:r>
      <w:r>
        <w:t xml:space="preserve">. The ACTIVE-state registry changes are committed directly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after that evidence run and require a fresh local gate on the new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HEAD before updating the numeric evidence record.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8" w:name="_69b7db6bc4fb4621480f159e84677929a412eb1"/>
      <w:r>
        <w:t xml:space="preserve">7. Canonical Full Suite</w:t>
      </w:r>
    </w:p>
    <w:p>
      <w:pPr>
        <w:pStyle w:val="FirstParagraph"/>
      </w:pPr>
      <w:r>
        <w:t xml:space="preserve">Exact local command:</w:t>
      </w:r>
    </w:p>
    <w:p>
      <w:pPr>
        <w:pStyle w:val="SourceCode"/>
      </w:pPr>
      <w:r>
        <w:rPr>
          <w:rStyle w:val="ExtensionTok"/>
        </w:rPr>
        <w:t xml:space="preserve">pytest</w:t>
      </w:r>
    </w:p>
    <w:p>
      <w:pPr>
        <w:pStyle w:val="FirstParagraph"/>
      </w:pPr>
      <w:r>
        <w:t xml:space="preserve">Observed result:</w:t>
      </w:r>
    </w:p>
    <w:p>
      <w:pPr>
        <w:pStyle w:val="SourceCode"/>
      </w:pPr>
      <w:r>
        <w:rPr>
          <w:rStyle w:val="VerbatimChar"/>
        </w:rPr>
        <w:t xml:space="preserve">692 passed in 42.03s</w:t>
      </w:r>
    </w:p>
    <w:p>
      <w:pPr>
        <w:pStyle w:val="FirstParagraph"/>
      </w:pPr>
      <w:r>
        <w:t xml:space="preserve">The observed final summary contained no failures, errors, or skips at the historical assurance HEAD. A fresh full-suite rerun is required after the ACTIVE-state changes before these numbers are used as current-main release evidence.</w:t>
      </w:r>
    </w:p>
    <w:p>
      <w:pPr>
        <w:pStyle w:val="BodyText"/>
      </w:pPr>
      <w:r>
        <w:t xml:space="preserve">This full suite includes architecture, runtime, security, AML, tenant-isolation, decision,</w:t>
      </w:r>
      <w:r>
        <w:t xml:space="preserve"> </w:t>
      </w:r>
      <w:r>
        <w:t xml:space="preserve">audit, evidence, Golden Path, Graph, Fraud, KYC/KYB, Sanctions, and related contract tests</w:t>
      </w:r>
      <w:r>
        <w:t xml:space="preserve"> </w:t>
      </w:r>
      <w:r>
        <w:t xml:space="preserve">present in the repository at the exact assurance HEAD.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9" w:name="_8ae814a21d4bf8f9b37f136d1212b94670d4b2d"/>
      <w:r>
        <w:t xml:space="preserve">8. What This Evidence Proves</w:t>
      </w:r>
    </w:p>
    <w:p>
      <w:pPr>
        <w:pStyle w:val="FirstParagraph"/>
      </w:pPr>
      <w:r>
        <w:t xml:space="preserve">At the declared scope, the exact HEAD has executable evidence that:</w:t>
      </w:r>
    </w:p>
    <w:p>
      <w:pPr>
        <w:pStyle w:val="Compact"/>
        <w:numPr>
          <w:ilvl w:val="0"/>
          <w:numId w:val="1003"/>
        </w:numPr>
      </w:pPr>
      <w:r>
        <w:t xml:space="preserve">the frozen 52-scenario AML population crosses the canonical backend Golden Path;</w:t>
      </w:r>
    </w:p>
    <w:p>
      <w:pPr>
        <w:pStyle w:val="Compact"/>
        <w:numPr>
          <w:ilvl w:val="0"/>
          <w:numId w:val="1003"/>
        </w:numPr>
      </w:pPr>
      <w:r>
        <w:t xml:space="preserve">the 7 fixed operating capability checkpoints are part of the same assurance registry;</w:t>
      </w:r>
    </w:p>
    <w:p>
      <w:pPr>
        <w:pStyle w:val="Compact"/>
        <w:numPr>
          <w:ilvl w:val="0"/>
          <w:numId w:val="1003"/>
        </w:numPr>
      </w:pPr>
      <w:r>
        <w:t xml:space="preserve">scenario identity/version/policy-version evidence is preserved;</w:t>
      </w:r>
    </w:p>
    <w:p>
      <w:pPr>
        <w:pStyle w:val="Compact"/>
        <w:numPr>
          <w:ilvl w:val="0"/>
          <w:numId w:val="1003"/>
        </w:numPr>
      </w:pPr>
      <w:r>
        <w:t xml:space="preserve">tenant-scoped AML transaction history works with the canonical database facade;</w:t>
      </w:r>
    </w:p>
    <w:p>
      <w:pPr>
        <w:pStyle w:val="Compact"/>
        <w:numPr>
          <w:ilvl w:val="0"/>
          <w:numId w:val="1003"/>
        </w:numPr>
      </w:pPr>
      <w:r>
        <w:t xml:space="preserve">Decision DNA, evidence lineage, audit, and replay assertions in the Golden Path remain green;</w:t>
      </w:r>
    </w:p>
    <w:p>
      <w:pPr>
        <w:pStyle w:val="Compact"/>
        <w:numPr>
          <w:ilvl w:val="0"/>
          <w:numId w:val="1003"/>
        </w:numPr>
      </w:pPr>
      <w:r>
        <w:t xml:space="preserve">architecture guards continue to pass;</w:t>
      </w:r>
    </w:p>
    <w:p>
      <w:pPr>
        <w:pStyle w:val="Compact"/>
        <w:numPr>
          <w:ilvl w:val="0"/>
          <w:numId w:val="1003"/>
        </w:numPr>
      </w:pPr>
      <w:r>
        <w:t xml:space="preserve">the complete repository test suite passes at</w:t>
      </w:r>
      <w:r>
        <w:t xml:space="preserve"> </w:t>
      </w:r>
      <w:r>
        <w:rPr>
          <w:rStyle w:val="VerbatimChar"/>
        </w:rPr>
        <w:t xml:space="preserve">692/692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4fefbbf0f95823d366034dab3eea9366057426f"/>
      <w:r>
        <w:t xml:space="preserve">9. What This Evidence Does Not Prove</w:t>
      </w:r>
    </w:p>
    <w:p>
      <w:pPr>
        <w:pStyle w:val="FirstParagraph"/>
      </w:pPr>
      <w:r>
        <w:t xml:space="preserve">This record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by itself prove:</w:t>
      </w:r>
    </w:p>
    <w:p>
      <w:pPr>
        <w:pStyle w:val="Compact"/>
        <w:numPr>
          <w:ilvl w:val="0"/>
          <w:numId w:val="1004"/>
        </w:numPr>
      </w:pPr>
      <w:r>
        <w:t xml:space="preserve">SAMA certification or formal regulatory approval;</w:t>
      </w:r>
    </w:p>
    <w:p>
      <w:pPr>
        <w:pStyle w:val="Compact"/>
        <w:numPr>
          <w:ilvl w:val="0"/>
          <w:numId w:val="1004"/>
        </w:numPr>
      </w:pPr>
      <w:r>
        <w:t xml:space="preserve">production SAFIU/GoAML submission activation;</w:t>
      </w:r>
    </w:p>
    <w:p>
      <w:pPr>
        <w:pStyle w:val="Compact"/>
        <w:numPr>
          <w:ilvl w:val="0"/>
          <w:numId w:val="1004"/>
        </w:numPr>
      </w:pPr>
      <w:r>
        <w:t xml:space="preserve">external sanctions/identity provider production activation;</w:t>
      </w:r>
    </w:p>
    <w:p>
      <w:pPr>
        <w:pStyle w:val="Compact"/>
        <w:numPr>
          <w:ilvl w:val="0"/>
          <w:numId w:val="1004"/>
        </w:numPr>
      </w:pPr>
      <w:r>
        <w:t xml:space="preserve">production model governance approval for AI/ML;</w:t>
      </w:r>
    </w:p>
    <w:p>
      <w:pPr>
        <w:pStyle w:val="Compact"/>
        <w:numPr>
          <w:ilvl w:val="0"/>
          <w:numId w:val="1004"/>
        </w:numPr>
      </w:pPr>
      <w:r>
        <w:t xml:space="preserve">customer/UAT acceptance;</w:t>
      </w:r>
    </w:p>
    <w:p>
      <w:pPr>
        <w:pStyle w:val="Compact"/>
        <w:numPr>
          <w:ilvl w:val="0"/>
          <w:numId w:val="1004"/>
        </w:numPr>
      </w:pPr>
      <w:r>
        <w:t xml:space="preserve">independent penetration testing;</w:t>
      </w:r>
    </w:p>
    <w:p>
      <w:pPr>
        <w:pStyle w:val="Compact"/>
        <w:numPr>
          <w:ilvl w:val="0"/>
          <w:numId w:val="1004"/>
        </w:numPr>
      </w:pPr>
      <w:r>
        <w:t xml:space="preserve">universal production readiness of every target-architecture stage;</w:t>
      </w:r>
    </w:p>
    <w:p>
      <w:pPr>
        <w:pStyle w:val="Compact"/>
        <w:numPr>
          <w:ilvl w:val="0"/>
          <w:numId w:val="1004"/>
        </w:numPr>
      </w:pPr>
      <w:r>
        <w:t xml:space="preserve">that the GitHub Actions runner executed the same tests successfully.</w:t>
      </w:r>
    </w:p>
    <w:p>
      <w:pPr>
        <w:pStyle w:val="FirstParagraph"/>
      </w:pPr>
      <w:r>
        <w:t xml:space="preserve">The last item is explicit because GitHub Actions was unavailable as a usable execution gate for this</w:t>
      </w:r>
      <w:r>
        <w:t xml:space="preserve"> </w:t>
      </w:r>
      <w:r>
        <w:t xml:space="preserve">assurance cycle.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61f6f49b4b89ad1c9891b7531bacb8849ca7dd7"/>
      <w:r>
        <w:t xml:space="preserve">10. GitHub Actions Status</w:t>
      </w:r>
    </w:p>
    <w:p>
      <w:pPr>
        <w:pStyle w:val="FirstParagraph"/>
      </w:pPr>
      <w:r>
        <w:t xml:space="preserve">After</w:t>
      </w:r>
      <w:r>
        <w:t xml:space="preserve"> </w:t>
      </w:r>
      <w:r>
        <w:rPr>
          <w:rStyle w:val="VerbatimChar"/>
        </w:rPr>
        <w:t xml:space="preserve">136f716a</w:t>
      </w:r>
      <w:r>
        <w:t xml:space="preserve"> </w:t>
      </w:r>
      <w:r>
        <w:t xml:space="preserve">was pushed, GitHub Actions run</w:t>
      </w:r>
      <w:r>
        <w:t xml:space="preserve"> </w:t>
      </w:r>
      <w:r>
        <w:rPr>
          <w:b/>
          <w:bCs/>
        </w:rPr>
        <w:t xml:space="preserve">36266194143</w:t>
      </w:r>
      <w:r>
        <w:t xml:space="preserve"> </w:t>
      </w:r>
      <w:r>
        <w:t xml:space="preserve">for workflow</w:t>
      </w:r>
      <w:r>
        <w:t xml:space="preserve"> </w:t>
      </w:r>
      <w:r>
        <w:rPr>
          <w:rStyle w:val="VerbatimChar"/>
        </w:rPr>
        <w:t xml:space="preserve">AML 59 Bank-Grade Assurance</w:t>
      </w:r>
      <w:r>
        <w:t xml:space="preserve"> </w:t>
      </w:r>
      <w:r>
        <w:t xml:space="preserve">returned:</w:t>
      </w:r>
    </w:p>
    <w:p>
      <w:pPr>
        <w:pStyle w:val="Compact"/>
        <w:numPr>
          <w:ilvl w:val="0"/>
          <w:numId w:val="1005"/>
        </w:numPr>
      </w:pPr>
      <w:r>
        <w:t xml:space="preserve">status: completed</w:t>
      </w:r>
    </w:p>
    <w:p>
      <w:pPr>
        <w:pStyle w:val="Compact"/>
        <w:numPr>
          <w:ilvl w:val="0"/>
          <w:numId w:val="1005"/>
        </w:numPr>
      </w:pPr>
      <w:r>
        <w:t xml:space="preserve">conclusion: failure</w:t>
      </w:r>
    </w:p>
    <w:p>
      <w:pPr>
        <w:pStyle w:val="Compact"/>
        <w:numPr>
          <w:ilvl w:val="0"/>
          <w:numId w:val="1005"/>
        </w:numPr>
      </w:pPr>
      <w:r>
        <w:t xml:space="preserve">job:</w:t>
      </w:r>
      <w:r>
        <w:t xml:space="preserve"> </w:t>
      </w:r>
      <w:r>
        <w:rPr>
          <w:rStyle w:val="VerbatimChar"/>
        </w:rPr>
        <w:t xml:space="preserve">aml-59-assurance</w:t>
      </w:r>
    </w:p>
    <w:p>
      <w:pPr>
        <w:pStyle w:val="Compact"/>
        <w:numPr>
          <w:ilvl w:val="0"/>
          <w:numId w:val="1005"/>
        </w:numPr>
      </w:pPr>
      <w:r>
        <w:t xml:space="preserve">head SHA:</w:t>
      </w:r>
      <w:r>
        <w:t xml:space="preserve"> </w:t>
      </w:r>
      <w:r>
        <w:rPr>
          <w:rStyle w:val="VerbatimChar"/>
        </w:rPr>
        <w:t xml:space="preserve">136f716a...</w:t>
      </w:r>
    </w:p>
    <w:p>
      <w:pPr>
        <w:pStyle w:val="Compact"/>
        <w:numPr>
          <w:ilvl w:val="0"/>
          <w:numId w:val="1005"/>
        </w:numPr>
      </w:pPr>
      <w:r>
        <w:t xml:space="preserve">recorded job steps:</w:t>
      </w:r>
      <w:r>
        <w:t xml:space="preserve"> </w:t>
      </w:r>
      <w:r>
        <w:rPr>
          <w:b/>
          <w:bCs/>
        </w:rPr>
        <w:t xml:space="preserve">none</w:t>
      </w:r>
    </w:p>
    <w:p>
      <w:pPr>
        <w:pStyle w:val="FirstParagraph"/>
      </w:pPr>
      <w:r>
        <w:t xml:space="preserve">The available run metadata shows the job failed before executable workflow steps were recorded.</w:t>
      </w:r>
      <w:r>
        <w:t xml:space="preserve"> </w:t>
      </w:r>
      <w:r>
        <w:t xml:space="preserve">Therefore the repository must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describe GitHub CI as green for this commit.</w:t>
      </w:r>
    </w:p>
    <w:p>
      <w:pPr>
        <w:pStyle w:val="BodyText"/>
      </w:pPr>
      <w:r>
        <w:t xml:space="preserve">The local terminal evidence in Sections 6 and 7 is the authoritative assurance evidence for this</w:t>
      </w:r>
      <w:r>
        <w:t xml:space="preserve"> </w:t>
      </w:r>
      <w:r>
        <w:t xml:space="preserve">cycle until a functioning GitHub Actions execution is available.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8036c329d5ed685ec4a11cefd709423a4f41b28"/>
      <w:r>
        <w:t xml:space="preserve">11. Release / Merge State</w:t>
      </w:r>
    </w:p>
    <w:p>
      <w:pPr>
        <w:pStyle w:val="FirstParagraph"/>
      </w:pPr>
      <w:r>
        <w:t xml:space="preserve">Current status:</w:t>
      </w:r>
    </w:p>
    <w:p>
      <w:pPr>
        <w:pStyle w:val="SourceCode"/>
      </w:pPr>
      <w:r>
        <w:rPr>
          <w:rStyle w:val="VerbatimChar"/>
        </w:rPr>
        <w:t xml:space="preserve">Exact HEAD:        136f716a</w:t>
      </w:r>
      <w:r>
        <w:br/>
      </w:r>
      <w:r>
        <w:rPr>
          <w:rStyle w:val="VerbatimChar"/>
        </w:rPr>
        <w:t xml:space="preserve">AML-59 targeted:   114/114 PASS</w:t>
      </w:r>
      <w:r>
        <w:br/>
      </w:r>
      <w:r>
        <w:rPr>
          <w:rStyle w:val="VerbatimChar"/>
        </w:rPr>
        <w:t xml:space="preserve">Full suite:        692/692 PASS</w:t>
      </w:r>
      <w:r>
        <w:br/>
      </w:r>
      <w:r>
        <w:rPr>
          <w:rStyle w:val="VerbatimChar"/>
        </w:rPr>
        <w:t xml:space="preserve">Local worktree:    clean before push</w:t>
      </w:r>
      <w:r>
        <w:br/>
      </w:r>
      <w:r>
        <w:rPr>
          <w:rStyle w:val="VerbatimChar"/>
        </w:rPr>
        <w:t xml:space="preserve">GitHub push:       successful</w:t>
      </w:r>
      <w:r>
        <w:br/>
      </w:r>
      <w:r>
        <w:rPr>
          <w:rStyle w:val="VerbatimChar"/>
        </w:rPr>
        <w:t xml:space="preserve">GitHub CI:         unavailable/failed before steps</w:t>
      </w:r>
      <w:r>
        <w:br/>
      </w:r>
      <w:r>
        <w:rPr>
          <w:rStyle w:val="VerbatimChar"/>
        </w:rPr>
        <w:t xml:space="preserve">PR #126:           not merged</w:t>
      </w:r>
    </w:p>
    <w:p>
      <w:pPr>
        <w:pStyle w:val="FirstParagraph"/>
      </w:pPr>
      <w:r>
        <w:t xml:space="preserve">No code change should be inferred from the GitHub runner failure alone.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cb059c832096d0cef51b3770eae3c3ac8d3aa78"/>
      <w:r>
        <w:t xml:space="preserve">12. Evidence Chain</w:t>
      </w:r>
    </w:p>
    <w:p>
      <w:pPr>
        <w:pStyle w:val="SourceCode"/>
      </w:pPr>
      <w:r>
        <w:rPr>
          <w:rStyle w:val="VerbatimChar"/>
        </w:rPr>
        <w:t xml:space="preserve">Frozen AML catalog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Canonical scenario execution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Policy instance / canonical rule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Real /api/evaluate boundary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Finding + scenario identity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Decision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Decision DNA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Evidence lineage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Audit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Case / replay assertions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114 targeted tests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692 full-suite tests</w:t>
      </w:r>
    </w:p>
    <w:p>
      <w:pPr>
        <w:pStyle w:val="FirstParagraph"/>
      </w:pPr>
      <w:r>
        <w:t xml:space="preserve">The evidence chain is the basis for engineering assurance. It must remain tied to an exact</w:t>
      </w:r>
      <w:r>
        <w:t xml:space="preserve"> </w:t>
      </w:r>
      <w:r>
        <w:t xml:space="preserve">commit; test counts without an exact commit are not release evidence.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c1e7168ea1e88c029da10e235d2d711d9fb6cc4"/>
      <w:r>
        <w:t xml:space="preserve">13. Evidence Maintenance Rule</w:t>
      </w:r>
    </w:p>
    <w:p>
      <w:pPr>
        <w:pStyle w:val="FirstParagraph"/>
      </w:pPr>
      <w:r>
        <w:t xml:space="preserve">Whenever execution semantics change, update in the same change set, as applicable:</w:t>
      </w:r>
    </w:p>
    <w:p>
      <w:pPr>
        <w:pStyle w:val="Compact"/>
        <w:numPr>
          <w:ilvl w:val="0"/>
          <w:numId w:val="1006"/>
        </w:numPr>
      </w:pPr>
      <w:r>
        <w:t xml:space="preserve">the owning code contract;</w:t>
      </w:r>
    </w:p>
    <w:p>
      <w:pPr>
        <w:pStyle w:val="Compact"/>
        <w:numPr>
          <w:ilvl w:val="0"/>
          <w:numId w:val="1006"/>
        </w:numPr>
      </w:pPr>
      <w:r>
        <w:t xml:space="preserve">the canonical Golden Path test;</w:t>
      </w:r>
    </w:p>
    <w:p>
      <w:pPr>
        <w:pStyle w:val="Compact"/>
        <w:numPr>
          <w:ilvl w:val="0"/>
          <w:numId w:val="1006"/>
        </w:numPr>
      </w:pPr>
      <w:r>
        <w:t xml:space="preserve">the assurance register;</w:t>
      </w:r>
    </w:p>
    <w:p>
      <w:pPr>
        <w:pStyle w:val="Compact"/>
        <w:numPr>
          <w:ilvl w:val="0"/>
          <w:numId w:val="1006"/>
        </w:numPr>
      </w:pPr>
      <w:r>
        <w:t xml:space="preserve">this evidence record;</w:t>
      </w:r>
    </w:p>
    <w:p>
      <w:pPr>
        <w:pStyle w:val="Compact"/>
        <w:numPr>
          <w:ilvl w:val="0"/>
          <w:numId w:val="1006"/>
        </w:numPr>
      </w:pPr>
      <w:r>
        <w:t xml:space="preserve">frontend integration documentation when the API contract changes.</w:t>
      </w:r>
    </w:p>
    <w:p>
      <w:pPr>
        <w:pStyle w:val="FirstParagraph"/>
      </w:pPr>
      <w:r>
        <w:t xml:space="preserve">Never update the numbers here without re-running the exact commands.</w:t>
      </w:r>
    </w:p>
    <w:p>
      <w:pPr>
        <w:pStyle w:val="BodyText"/>
      </w:pPr>
      <w:r>
        <w:rPr>
          <w:b/>
          <w:bCs/>
        </w:rPr>
        <w:t xml:space="preserve">Canonical principle: evidence follows the commit.</w:t>
      </w:r>
    </w:p>
    <w:sectPr>
      <w:headerReference w:type="default" r:id="rId10"/>
      <w:footerReference w:type="default" r:id="rId11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yperlink" Target="HISN_AML59_E2E_ASSURANCE_2026-09-27.md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9" Type="http://schemas.openxmlformats.org/officeDocument/2006/relationships/hyperlink" Target="HISN_AML59_E2E_ASSURANCE_2026-09-27.md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AML59 ASSURANCE EVIDENCE 2026-09-26</dc:title>
  <dc:creator>HISN Platform</dc:creator>
  <cp:keywords>HISN, FCDOS, financial crime, decision operating system</cp:keywords>
  <dcterms:created xsi:type="dcterms:W3CDTF">2026-10-13T12:57:01Z</dcterms:created>
  <dcterms:modified xsi:type="dcterms:W3CDTF">2026-10-13T12:57:01Z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