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a6c67816573d9389da9153f8a9647cb62980331"/>
      <w:r>
        <w:t xml:space="preserve">HISN AML-59 E2E Assurance Evidence — 2026-09-27</w:t>
      </w:r>
    </w:p>
    <w:p>
      <w:pPr>
        <w:pStyle w:val="FirstParagraph"/>
      </w:pPr>
      <w:r>
        <w:rPr>
          <w:b/>
          <w:bCs/>
        </w:rPr>
        <w:t xml:space="preserve">Document ID:</w:t>
      </w:r>
      <w:r>
        <w:t xml:space="preserve"> </w:t>
      </w:r>
      <w:r>
        <w:t xml:space="preserve">HISN-AML59-E2E-ASSURANCE-2026-09-27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CURRENT</w:t>
      </w:r>
      <w:r>
        <w:br/>
      </w:r>
      <w:r>
        <w:rPr>
          <w:b/>
          <w:bCs/>
        </w:rPr>
        <w:t xml:space="preserve">Canonical repository:</w:t>
      </w:r>
      <w:r>
        <w:t xml:space="preserve"> </w:t>
      </w:r>
      <w:r>
        <w:rPr>
          <w:rStyle w:val="VerbatimChar"/>
        </w:rPr>
        <w:t xml:space="preserve">Abdo-Tec/hisn-platform</w:t>
      </w:r>
      <w:r>
        <w:br/>
      </w:r>
      <w:r>
        <w:rPr>
          <w:b/>
          <w:bCs/>
        </w:rPr>
        <w:t xml:space="preserve">Canonical branch:</w:t>
      </w:r>
      <w:r>
        <w:t xml:space="preserve"> </w:t>
      </w:r>
      <w:r>
        <w:rPr>
          <w:rStyle w:val="VerbatimChar"/>
        </w:rPr>
        <w:t xml:space="preserve">main</w:t>
      </w:r>
    </w:p>
    <w:p>
      <w:pPr>
        <w:pStyle w:val="Heading2"/>
      </w:pPr>
      <w:bookmarkStart w:id="10" w:name="_fa556d2426e5efe5370c82a45c27eb61e0599c0"/>
      <w:r>
        <w:t xml:space="preserve">1. Executive evidence statement</w:t>
      </w:r>
    </w:p>
    <w:p>
      <w:pPr>
        <w:pStyle w:val="FirstParagraph"/>
      </w:pPr>
      <w:r>
        <w:t xml:space="preserve">The current AML-59 implementation baseline is:</w:t>
      </w:r>
    </w:p>
    <w:p>
      <w:pPr>
        <w:pStyle w:val="SourceCode"/>
      </w:pPr>
      <w:r>
        <w:rPr>
          <w:rStyle w:val="VerbatimChar"/>
        </w:rPr>
        <w:t xml:space="preserve">52 ACTIVE AML/TM scenarios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</w:rPr>
        <w:t xml:space="preserve">7 ACTIVE operating capabilities</w:t>
      </w:r>
      <w:r>
        <w:br/>
      </w:r>
      <w:r>
        <w:rPr>
          <w:rStyle w:val="VerbatimChar"/>
        </w:rPr>
        <w:t xml:space="preserve">=</w:t>
      </w:r>
      <w:r>
        <w:br/>
      </w:r>
      <w:r>
        <w:rPr>
          <w:rStyle w:val="VerbatimChar"/>
        </w:rPr>
        <w:t xml:space="preserve">59 ACTIVE runtime/control items</w:t>
      </w:r>
    </w:p>
    <w:p>
      <w:pPr>
        <w:pStyle w:val="FirstParagraph"/>
      </w:pPr>
      <w:r>
        <w:t xml:space="preserve">This is a</w:t>
      </w:r>
      <w:r>
        <w:t xml:space="preserve"> </w:t>
      </w:r>
      <w:r>
        <w:rPr>
          <w:b/>
          <w:bCs/>
        </w:rPr>
        <w:t xml:space="preserve">controlled assurance inventory</w:t>
      </w:r>
      <w:r>
        <w:t xml:space="preserve">, not 59 separate engines and not 59 Python functions.</w:t>
      </w:r>
    </w:p>
    <w:p>
      <w:pPr>
        <w:pStyle w:val="BodyText"/>
      </w:pPr>
      <w:r>
        <w:t xml:space="preserve">Executable code baseline used for the 2026-09-27 test runs:</w:t>
      </w:r>
    </w:p>
    <w:p>
      <w:pPr>
        <w:pStyle w:val="SourceCode"/>
      </w:pPr>
      <w:r>
        <w:rPr>
          <w:rStyle w:val="VerbatimChar"/>
        </w:rPr>
        <w:t xml:space="preserve">6e3d41ce48757cfc8d2647a6f0396f81a164fb5d</w:t>
      </w:r>
    </w:p>
    <w:p>
      <w:pPr>
        <w:pStyle w:val="Heading2"/>
      </w:pPr>
      <w:bookmarkStart w:id="11" w:name="_fe63f07b6b0060cb775ec02a38969e7e448729c"/>
      <w:r>
        <w:t xml:space="preserve">2. Exact executable evidence</w:t>
      </w:r>
    </w:p>
    <w:p>
      <w:pPr>
        <w:pStyle w:val="Heading3"/>
      </w:pPr>
      <w:bookmarkStart w:id="12" w:name="_5c5b2dafae48bb10502b9f4fbe5a9a530ebe5d2"/>
      <w:r>
        <w:t xml:space="preserve">AML-59 targeted assurance</w:t>
      </w:r>
    </w:p>
    <w:p>
      <w:pPr>
        <w:pStyle w:val="FirstParagraph"/>
      </w:pPr>
      <w:r>
        <w:t xml:space="preserve">Command:</w:t>
      </w:r>
    </w:p>
    <w:p>
      <w:pPr>
        <w:pStyle w:val="SourceCode"/>
      </w:pP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tests/test_aml_legacy_seam_closure.py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tests/test_aml_execution_model.py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tests/test_aml_scenario_registry.py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tests/test_aml_52_executable_contracts.py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tests/test_aml_bank_grade_assurance.py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tests/test_aml_bank_grade_59_registry.py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tests/test_gate04b_aml_scenarios.py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tests/test_e2e_transparent_golden_path.py</w:t>
      </w:r>
    </w:p>
    <w:p>
      <w:pPr>
        <w:pStyle w:val="FirstParagraph"/>
      </w:pPr>
      <w:r>
        <w:t xml:space="preserve">Observed on exact current local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115 passed in 10.88s</w:t>
      </w:r>
    </w:p>
    <w:p>
      <w:pPr>
        <w:pStyle w:val="Heading3"/>
      </w:pPr>
      <w:bookmarkStart w:id="13" w:name="_34e432fb1c24f77a02ff1a0e80bd7a0e3387d76"/>
      <w:r>
        <w:t xml:space="preserve">Full repository regression</w:t>
      </w:r>
    </w:p>
    <w:p>
      <w:pPr>
        <w:pStyle w:val="FirstParagraph"/>
      </w:pPr>
      <w:r>
        <w:t xml:space="preserve">Command:</w:t>
      </w:r>
    </w:p>
    <w:p>
      <w:pPr>
        <w:pStyle w:val="SourceCode"/>
      </w:pPr>
      <w:r>
        <w:rPr>
          <w:rStyle w:val="ExtensionTok"/>
        </w:rPr>
        <w:t xml:space="preserve">pytest</w:t>
      </w:r>
    </w:p>
    <w:p>
      <w:pPr>
        <w:pStyle w:val="FirstParagraph"/>
      </w:pPr>
      <w:r>
        <w:t xml:space="preserve">Observed on exact current local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693 passed in 56.01s</w:t>
      </w:r>
    </w:p>
    <w:p>
      <w:pPr>
        <w:pStyle w:val="FirstParagraph"/>
      </w:pPr>
      <w:r>
        <w:t xml:space="preserve">No test failure or error was reported in this run.</w:t>
      </w:r>
    </w:p>
    <w:p>
      <w:pPr>
        <w:pStyle w:val="Heading3"/>
      </w:pPr>
      <w:bookmarkStart w:id="14" w:name="_e24d06fb073bed9d279f6d5d661b2535d9114d8"/>
      <w:r>
        <w:t xml:space="preserve">Canonical backend Golden Path</w:t>
      </w:r>
    </w:p>
    <w:p>
      <w:pPr>
        <w:pStyle w:val="FirstParagraph"/>
      </w:pPr>
      <w:r>
        <w:t xml:space="preserve">Test:</w:t>
      </w:r>
    </w:p>
    <w:p>
      <w:pPr>
        <w:pStyle w:val="SourceCode"/>
      </w:pPr>
      <w:r>
        <w:rPr>
          <w:rStyle w:val="VerbatimChar"/>
        </w:rPr>
        <w:t xml:space="preserve">tests/test_e2e_transparent_golden_path.py</w:t>
      </w:r>
    </w:p>
    <w:p>
      <w:pPr>
        <w:pStyle w:val="FirstParagraph"/>
      </w:pPr>
      <w:r>
        <w:t xml:space="preserve">Single transparent runtime path:</w:t>
      </w:r>
    </w:p>
    <w:p>
      <w:pPr>
        <w:pStyle w:val="SourceCode"/>
      </w:pPr>
      <w:r>
        <w:rPr>
          <w:rStyle w:val="VerbatimChar"/>
        </w:rPr>
        <w:t xml:space="preserve">pytest -q -s \</w:t>
      </w:r>
      <w:r>
        <w:br/>
      </w:r>
      <w:r>
        <w:rPr>
          <w:rStyle w:val="VerbatimChar"/>
        </w:rPr>
        <w:t xml:space="preserve">  tests/test_e2e_transparent_golden_path.py::test_transparent_golden_path_executes_canonical_runtime_and_preserves_lineage</w:t>
      </w:r>
    </w:p>
    <w:p>
      <w:pPr>
        <w:pStyle w:val="FirstParagraph"/>
      </w:pPr>
      <w:r>
        <w:t xml:space="preserve">Observed:</w:t>
      </w:r>
    </w:p>
    <w:p>
      <w:pPr>
        <w:pStyle w:val="SourceCode"/>
      </w:pPr>
      <w:r>
        <w:rPr>
          <w:rStyle w:val="VerbatimChar"/>
        </w:rPr>
        <w:t xml:space="preserve">1 passed in 0.87s</w:t>
      </w:r>
    </w:p>
    <w:p>
      <w:pPr>
        <w:pStyle w:val="Heading3"/>
      </w:pPr>
      <w:bookmarkStart w:id="15" w:name="_8cc9a8cb8be9a729dfe12d4d2bfa290b6cf3dde"/>
      <w:r>
        <w:t xml:space="preserve">All 52 AML scenarios through the canonical API path</w:t>
      </w:r>
    </w:p>
    <w:p>
      <w:pPr>
        <w:pStyle w:val="FirstParagraph"/>
      </w:pPr>
      <w:r>
        <w:t xml:space="preserve">Test:</w:t>
      </w:r>
    </w:p>
    <w:p>
      <w:pPr>
        <w:pStyle w:val="SourceCode"/>
      </w:pPr>
      <w:r>
        <w:rPr>
          <w:rStyle w:val="VerbatimChar"/>
        </w:rPr>
        <w:t xml:space="preserve">tests/test_e2e_transparent_golden_path.py::test_bank_grade_59_golden_path_all_52_scenarios</w:t>
      </w:r>
    </w:p>
    <w:p>
      <w:pPr>
        <w:pStyle w:val="FirstParagraph"/>
      </w:pPr>
      <w:r>
        <w:t xml:space="preserve">Observed:</w:t>
      </w:r>
    </w:p>
    <w:p>
      <w:pPr>
        <w:pStyle w:val="SourceCode"/>
      </w:pPr>
      <w:r>
        <w:rPr>
          <w:rStyle w:val="VerbatimChar"/>
        </w:rPr>
        <w:t xml:space="preserve">52 passed in 9.45s</w:t>
      </w:r>
    </w:p>
    <w:p>
      <w:pPr>
        <w:pStyle w:val="FirstParagraph"/>
      </w:pPr>
      <w:r>
        <w:t xml:space="preserve">The parametrized E2E crosses the real</w:t>
      </w:r>
      <w:r>
        <w:t xml:space="preserve"> </w:t>
      </w:r>
      <w:r>
        <w:rPr>
          <w:rStyle w:val="VerbatimChar"/>
        </w:rPr>
        <w:t xml:space="preserve">/api/evaluate</w:t>
      </w:r>
      <w:r>
        <w:t xml:space="preserve"> </w:t>
      </w:r>
      <w:r>
        <w:t xml:space="preserve">boundary for TM-001 through TM-052 and asserts scenario identity/versioning, policy version, canonical finding presence, persisted Decision DNA, audit persistence/integrity, and idempotent replay rejection.</w:t>
      </w:r>
    </w:p>
    <w:p>
      <w:pPr>
        <w:pStyle w:val="Heading2"/>
      </w:pPr>
      <w:bookmarkStart w:id="16" w:name="_26141e5f177c09cc5d56efb3e47b601a7b0184b"/>
      <w:r>
        <w:t xml:space="preserve">3. Direct registry structure check</w:t>
      </w:r>
    </w:p>
    <w:p>
      <w:pPr>
        <w:pStyle w:val="FirstParagraph"/>
      </w:pPr>
      <w:r>
        <w:t xml:space="preserve">A direct runtime registry inspection returned:</w:t>
      </w:r>
    </w:p>
    <w:p>
      <w:pPr>
        <w:pStyle w:val="SourceCode"/>
      </w:pPr>
      <w:r>
        <w:rPr>
          <w:rStyle w:val="VerbatimChar"/>
        </w:rPr>
        <w:t xml:space="preserve">Active scenarios    : 52</w:t>
      </w:r>
      <w:r>
        <w:br/>
      </w:r>
      <w:r>
        <w:rPr>
          <w:rStyle w:val="VerbatimChar"/>
        </w:rPr>
        <w:t xml:space="preserve">Active capabilities : 7</w:t>
      </w:r>
      <w:r>
        <w:br/>
      </w:r>
      <w:r>
        <w:rPr>
          <w:rStyle w:val="VerbatimChar"/>
        </w:rPr>
        <w:t xml:space="preserve">Total controlled    : 59</w:t>
      </w:r>
    </w:p>
    <w:p>
      <w:pPr>
        <w:pStyle w:val="FirstParagraph"/>
      </w:pPr>
      <w:r>
        <w:t xml:space="preserve">Assertions:</w:t>
      </w:r>
    </w:p>
    <w:p>
      <w:pPr>
        <w:pStyle w:val="SourceCode"/>
      </w:pPr>
      <w:r>
        <w:rPr>
          <w:rStyle w:val="VerbatimChar"/>
        </w:rPr>
        <w:t xml:space="preserve">len(scenarios) == 52</w:t>
      </w:r>
      <w:r>
        <w:br/>
      </w:r>
      <w:r>
        <w:rPr>
          <w:rStyle w:val="VerbatimChar"/>
        </w:rPr>
        <w:t xml:space="preserve">len(capabilities) == 7</w:t>
      </w:r>
      <w:r>
        <w:br/>
      </w:r>
      <w:r>
        <w:rPr>
          <w:rStyle w:val="VerbatimChar"/>
        </w:rPr>
        <w:t xml:space="preserve">len(scenarios) + len(capabilities) == 59</w:t>
      </w:r>
    </w:p>
    <w:p>
      <w:pPr>
        <w:pStyle w:val="FirstParagraph"/>
      </w:pPr>
      <w:r>
        <w:t xml:space="preserve">Result:</w:t>
      </w:r>
    </w:p>
    <w:p>
      <w:pPr>
        <w:pStyle w:val="SourceCode"/>
      </w:pPr>
      <w:r>
        <w:rPr>
          <w:rStyle w:val="VerbatimChar"/>
        </w:rPr>
        <w:t xml:space="preserve">PASS — 52 scenarios + 7 capabilities = 59 AML controlled items</w:t>
      </w:r>
    </w:p>
    <w:p>
      <w:pPr>
        <w:pStyle w:val="Heading2"/>
      </w:pPr>
      <w:bookmarkStart w:id="17" w:name="_64e27147b6bfe251df44cbfeb66f400d3cadf77"/>
      <w:r>
        <w:t xml:space="preserve">4. Runtime architecture</w:t>
      </w:r>
    </w:p>
    <w:p>
      <w:pPr>
        <w:pStyle w:val="FirstParagraph"/>
      </w:pPr>
      <w:r>
        <w:t xml:space="preserve">The canonical path is:</w:t>
      </w:r>
    </w:p>
    <w:p>
      <w:pPr>
        <w:pStyle w:val="SourceCode"/>
      </w:pPr>
      <w:r>
        <w:rPr>
          <w:rStyle w:val="VerbatimChar"/>
        </w:rPr>
        <w:t xml:space="preserve">Client / Transaction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POST /api/evaluate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Authorization + CanonicalContext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RuntimeEngine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AML Runtime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AML Scenario Execution Engine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Engine-backed rule OR policy-backed scenario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Finding / Clear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Decision + Decision DNA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Evidence + Audit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Case / governed downstream action</w:t>
      </w:r>
    </w:p>
    <w:p>
      <w:pPr>
        <w:pStyle w:val="FirstParagraph"/>
      </w:pPr>
      <w:r>
        <w:t xml:space="preserve">The canonical scenario execution component is:</w:t>
      </w:r>
    </w:p>
    <w:p>
      <w:pPr>
        <w:pStyle w:val="SourceCode"/>
      </w:pPr>
      <w:r>
        <w:rPr>
          <w:rStyle w:val="VerbatimChar"/>
        </w:rPr>
        <w:t xml:space="preserve">src/domains/aml/scenarios/execution.py</w:t>
      </w:r>
      <w:r>
        <w:br/>
      </w:r>
      <w:r>
        <w:rPr>
          <w:rStyle w:val="VerbatimChar"/>
        </w:rPr>
        <w:t xml:space="preserve">class AMLScenarioExecutionEngine</w:t>
      </w:r>
    </w:p>
    <w:p>
      <w:pPr>
        <w:pStyle w:val="FirstParagraph"/>
      </w:pPr>
      <w:r>
        <w:t xml:space="preserve">The 52 IDs are scenario/control identifiers. They are not separate engine implementations.</w:t>
      </w:r>
    </w:p>
    <w:p>
      <w:pPr>
        <w:pStyle w:val="BodyText"/>
      </w:pPr>
      <w:r>
        <w:t xml:space="preserve">The engine-backed AML owners remain canonical where applicable (for example TM-001, TM-004, and TM-007). Other scenarios use versioned policy-instance contracts without creating duplicate Graph, Fraud, Sanctions, KYC, KYB, or PEP engines.</w:t>
      </w:r>
    </w:p>
    <w:p>
      <w:pPr>
        <w:pStyle w:val="Heading2"/>
      </w:pPr>
      <w:bookmarkStart w:id="18" w:name="_82d0c1c521858cafbca9b7f7967fc355a62d75a"/>
      <w:r>
        <w:t xml:space="preserve">5. What the E2E evidence proves</w:t>
      </w:r>
    </w:p>
    <w:p>
      <w:pPr>
        <w:pStyle w:val="FirstParagraph"/>
      </w:pPr>
      <w:r>
        <w:t xml:space="preserve">At the declared software-assurance scope, the evidence demonstrates that:</w:t>
      </w:r>
    </w:p>
    <w:p>
      <w:pPr>
        <w:pStyle w:val="Compact"/>
        <w:numPr>
          <w:ilvl w:val="0"/>
          <w:numId w:val="1001"/>
        </w:numPr>
      </w:pPr>
      <w:r>
        <w:t xml:space="preserve">the canonical AML inventory contains exactly 52 scenario IDs plus 7 capability checkpoints;</w:t>
      </w:r>
    </w:p>
    <w:p>
      <w:pPr>
        <w:pStyle w:val="Compact"/>
        <w:numPr>
          <w:ilvl w:val="0"/>
          <w:numId w:val="1001"/>
        </w:numPr>
      </w:pPr>
      <w:r>
        <w:t xml:space="preserve">all 52 scenarios are ACTIVE in the canonical runtime/control registry;</w:t>
      </w:r>
    </w:p>
    <w:p>
      <w:pPr>
        <w:pStyle w:val="Compact"/>
        <w:numPr>
          <w:ilvl w:val="0"/>
          <w:numId w:val="1001"/>
        </w:numPr>
      </w:pPr>
      <w:r>
        <w:t xml:space="preserve">all 7 capabilities are ACTIVE in that registry;</w:t>
      </w:r>
    </w:p>
    <w:p>
      <w:pPr>
        <w:pStyle w:val="Compact"/>
        <w:numPr>
          <w:ilvl w:val="0"/>
          <w:numId w:val="1001"/>
        </w:numPr>
      </w:pPr>
      <w:r>
        <w:t xml:space="preserve">all 52 AML scenarios cross the canonical backend</w:t>
      </w:r>
      <w:r>
        <w:t xml:space="preserve"> </w:t>
      </w:r>
      <w:r>
        <w:rPr>
          <w:rStyle w:val="VerbatimChar"/>
        </w:rPr>
        <w:t xml:space="preserve">/api/evaluate</w:t>
      </w:r>
      <w:r>
        <w:t xml:space="preserve"> </w:t>
      </w:r>
      <w:r>
        <w:t xml:space="preserve">path through the single backend E2E authority;</w:t>
      </w:r>
    </w:p>
    <w:p>
      <w:pPr>
        <w:pStyle w:val="Compact"/>
        <w:numPr>
          <w:ilvl w:val="0"/>
          <w:numId w:val="1001"/>
        </w:numPr>
      </w:pPr>
      <w:r>
        <w:t xml:space="preserve">scenario identity, scenario version, and policy version are preserved at the finding/decision boundary;</w:t>
      </w:r>
    </w:p>
    <w:p>
      <w:pPr>
        <w:pStyle w:val="Compact"/>
        <w:numPr>
          <w:ilvl w:val="0"/>
          <w:numId w:val="1001"/>
        </w:numPr>
      </w:pPr>
      <w:r>
        <w:t xml:space="preserve">Decision DNA persistence is exercised;</w:t>
      </w:r>
    </w:p>
    <w:p>
      <w:pPr>
        <w:pStyle w:val="Compact"/>
        <w:numPr>
          <w:ilvl w:val="0"/>
          <w:numId w:val="1001"/>
        </w:numPr>
      </w:pPr>
      <w:r>
        <w:t xml:space="preserve">evidence and audit persistence/integrity are exercised;</w:t>
      </w:r>
    </w:p>
    <w:p>
      <w:pPr>
        <w:pStyle w:val="Compact"/>
        <w:numPr>
          <w:ilvl w:val="0"/>
          <w:numId w:val="1001"/>
        </w:numPr>
      </w:pPr>
      <w:r>
        <w:t xml:space="preserve">replay/idempotency behavior is exercised;</w:t>
      </w:r>
    </w:p>
    <w:p>
      <w:pPr>
        <w:pStyle w:val="Compact"/>
        <w:numPr>
          <w:ilvl w:val="0"/>
          <w:numId w:val="1001"/>
        </w:numPr>
      </w:pPr>
      <w:r>
        <w:t xml:space="preserve">the full repository regression suite remains green after AML-59 activation.</w:t>
      </w:r>
    </w:p>
    <w:p>
      <w:pPr>
        <w:pStyle w:val="Heading2"/>
      </w:pPr>
      <w:bookmarkStart w:id="19" w:name="_e86d1726409e37db89755d8070d672b4daba4f4"/>
      <w:r>
        <w:t xml:space="preserve">6. Security / governance evidence in scope</w:t>
      </w:r>
    </w:p>
    <w:p>
      <w:pPr>
        <w:pStyle w:val="FirstParagraph"/>
      </w:pPr>
      <w:r>
        <w:t xml:space="preserve">The AML E2E path participates in the platform’s canonical:</w:t>
      </w:r>
    </w:p>
    <w:p>
      <w:pPr>
        <w:pStyle w:val="Compact"/>
        <w:numPr>
          <w:ilvl w:val="0"/>
          <w:numId w:val="1002"/>
        </w:numPr>
      </w:pPr>
      <w:r>
        <w:t xml:space="preserve">authorization and tenant binding;</w:t>
      </w:r>
    </w:p>
    <w:p>
      <w:pPr>
        <w:pStyle w:val="Compact"/>
        <w:numPr>
          <w:ilvl w:val="0"/>
          <w:numId w:val="1002"/>
        </w:numPr>
      </w:pPr>
      <w:r>
        <w:t xml:space="preserve">tenant-scoped persistence;</w:t>
      </w:r>
    </w:p>
    <w:p>
      <w:pPr>
        <w:pStyle w:val="Compact"/>
        <w:numPr>
          <w:ilvl w:val="0"/>
          <w:numId w:val="1002"/>
        </w:numPr>
      </w:pPr>
      <w:r>
        <w:t xml:space="preserve">fail-closed decision semantics where required;</w:t>
      </w:r>
    </w:p>
    <w:p>
      <w:pPr>
        <w:pStyle w:val="Compact"/>
        <w:numPr>
          <w:ilvl w:val="0"/>
          <w:numId w:val="1002"/>
        </w:numPr>
      </w:pPr>
      <w:r>
        <w:t xml:space="preserve">immutable Decision DNA / evidence lineage contracts;</w:t>
      </w:r>
    </w:p>
    <w:p>
      <w:pPr>
        <w:pStyle w:val="Compact"/>
        <w:numPr>
          <w:ilvl w:val="0"/>
          <w:numId w:val="1002"/>
        </w:numPr>
      </w:pPr>
      <w:r>
        <w:t xml:space="preserve">audit integrity;</w:t>
      </w:r>
    </w:p>
    <w:p>
      <w:pPr>
        <w:pStyle w:val="Compact"/>
        <w:numPr>
          <w:ilvl w:val="0"/>
          <w:numId w:val="1002"/>
        </w:numPr>
      </w:pPr>
      <w:r>
        <w:t xml:space="preserve">idempotent replay controls;</w:t>
      </w:r>
    </w:p>
    <w:p>
      <w:pPr>
        <w:pStyle w:val="Compact"/>
        <w:numPr>
          <w:ilvl w:val="0"/>
          <w:numId w:val="1002"/>
        </w:numPr>
      </w:pPr>
      <w:r>
        <w:t xml:space="preserve">explicit runtime engine composition;</w:t>
      </w:r>
    </w:p>
    <w:p>
      <w:pPr>
        <w:pStyle w:val="Compact"/>
        <w:numPr>
          <w:ilvl w:val="0"/>
          <w:numId w:val="1002"/>
        </w:numPr>
      </w:pPr>
      <w:r>
        <w:t xml:space="preserve">no-parallel-E2E governance;</w:t>
      </w:r>
    </w:p>
    <w:p>
      <w:pPr>
        <w:pStyle w:val="Compact"/>
        <w:numPr>
          <w:ilvl w:val="0"/>
          <w:numId w:val="1002"/>
        </w:numPr>
      </w:pPr>
      <w:r>
        <w:t xml:space="preserve">no-dynamic-discovery architecture guards.</w:t>
      </w:r>
    </w:p>
    <w:p>
      <w:pPr>
        <w:pStyle w:val="FirstParagraph"/>
      </w:pPr>
      <w:r>
        <w:t xml:space="preserve">This is engineering evidence. It is not a substitute for an independent penetration test, red-team assessment, or regulatory certification.</w:t>
      </w:r>
    </w:p>
    <w:p>
      <w:pPr>
        <w:pStyle w:val="Heading2"/>
      </w:pPr>
      <w:bookmarkStart w:id="20" w:name="_d464de1413cf76b3cbfd037493256fd7974a197"/>
      <w:r>
        <w:t xml:space="preserve">7. Stakeholder inspection map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Reviewer</w:t>
            </w:r>
          </w:p>
        </w:tc>
        <w:tc>
          <w:tcPr/>
          <w:p>
            <w:pPr>
              <w:pStyle w:val="Compact"/>
            </w:pPr>
            <w:r>
              <w:t xml:space="preserve">Primary evidence in this repository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/ Board</w:t>
            </w:r>
          </w:p>
        </w:tc>
        <w:tc>
          <w:tcPr/>
          <w:p>
            <w:pPr>
              <w:pStyle w:val="Compact"/>
            </w:pPr>
            <w:r>
              <w:t xml:space="preserve">59 controlled AML scope; 115 targeted tests; 693 full regression; 52/52 canonical API E2E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CTO / Architect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src/domains/aml/scenarios/execution.py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container.py</w:t>
            </w:r>
            <w:r>
              <w:t xml:space="preserve">; Golden Path; SSOT/architecture guards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MRLO / Compliance</w:t>
            </w:r>
          </w:p>
        </w:tc>
        <w:tc>
          <w:tcPr/>
          <w:p>
            <w:pPr>
              <w:pStyle w:val="Compact"/>
            </w:pPr>
            <w:r>
              <w:t xml:space="preserve">52 typologies + 7 operating controls; finding/version/evidence/audit lineage; maker/checker and TFS checkpoints; explicit regulatory-submission boundary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CCO / Compliance Officer</w:t>
            </w:r>
          </w:p>
        </w:tc>
        <w:tc>
          <w:tcPr/>
          <w:p>
            <w:pPr>
              <w:pStyle w:val="Compact"/>
            </w:pPr>
            <w:r>
              <w:t xml:space="preserve">case/STR lineage contracts, policy/version control, evidence/audit/replay checkpoints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COO</w:t>
            </w:r>
          </w:p>
        </w:tc>
        <w:tc>
          <w:tcPr/>
          <w:p>
            <w:pPr>
              <w:pStyle w:val="Compact"/>
            </w:pPr>
            <w:r>
              <w:t xml:space="preserve">deterministic operational path, case/escalation checkpoints, replay/idempotency, ownership boundaries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tenant/auth boundaries, fail-closed semantics, audit integrity, architecture guards, full regression security coverage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Frontend owner</w:t>
            </w:r>
          </w:p>
        </w:tc>
        <w:tc>
          <w:tcPr/>
          <w:p>
            <w:pPr>
              <w:pStyle w:val="Compact"/>
            </w:pPr>
            <w:r>
              <w:t xml:space="preserve">backend remains decision/evidence authority; frontend consumes governed 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FARES owner</w:t>
            </w:r>
          </w:p>
        </w:tc>
        <w:tc>
          <w:tcPr/>
          <w:p>
            <w:pPr>
              <w:pStyle w:val="Compact"/>
            </w:pPr>
            <w:r>
              <w:t xml:space="preserve">FARES is producer/source boundary; current AML-59 platform proof must not be misreported as FARES-generated evidence</w:t>
            </w:r>
          </w:p>
        </w:tc>
      </w:tr>
    </w:tbl>
    <w:p>
      <w:pPr>
        <w:pStyle w:val="Heading2"/>
      </w:pPr>
      <w:bookmarkStart w:id="21" w:name="_a168b1795a25ba5febe863a9b3669aa1f1179ed"/>
      <w:r>
        <w:t xml:space="preserve">8. Evidence limits / forbidden over-claims</w:t>
      </w:r>
    </w:p>
    <w:p>
      <w:pPr>
        <w:pStyle w:val="FirstParagraph"/>
      </w:pPr>
      <w:r>
        <w:t xml:space="preserve">This record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by itself prove:</w:t>
      </w:r>
    </w:p>
    <w:p>
      <w:pPr>
        <w:pStyle w:val="Compact"/>
        <w:numPr>
          <w:ilvl w:val="0"/>
          <w:numId w:val="1003"/>
        </w:numPr>
      </w:pPr>
      <w:r>
        <w:t xml:space="preserve">SAMA certification or formal regulatory approval;</w:t>
      </w:r>
    </w:p>
    <w:p>
      <w:pPr>
        <w:pStyle w:val="Compact"/>
        <w:numPr>
          <w:ilvl w:val="0"/>
          <w:numId w:val="1003"/>
        </w:numPr>
      </w:pPr>
      <w:r>
        <w:t xml:space="preserve">live SAFIU/GoAML production submission;</w:t>
      </w:r>
    </w:p>
    <w:p>
      <w:pPr>
        <w:pStyle w:val="Compact"/>
        <w:numPr>
          <w:ilvl w:val="0"/>
          <w:numId w:val="1003"/>
        </w:numPr>
      </w:pPr>
      <w:r>
        <w:t xml:space="preserve">customer/UAT acceptance;</w:t>
      </w:r>
    </w:p>
    <w:p>
      <w:pPr>
        <w:pStyle w:val="Compact"/>
        <w:numPr>
          <w:ilvl w:val="0"/>
          <w:numId w:val="1003"/>
        </w:numPr>
      </w:pPr>
      <w:r>
        <w:t xml:space="preserve">independent penetration testing;</w:t>
      </w:r>
    </w:p>
    <w:p>
      <w:pPr>
        <w:pStyle w:val="Compact"/>
        <w:numPr>
          <w:ilvl w:val="0"/>
          <w:numId w:val="1003"/>
        </w:numPr>
      </w:pPr>
      <w:r>
        <w:t xml:space="preserve">production model-governance approval for ML;</w:t>
      </w:r>
    </w:p>
    <w:p>
      <w:pPr>
        <w:pStyle w:val="Compact"/>
        <w:numPr>
          <w:ilvl w:val="0"/>
          <w:numId w:val="1003"/>
        </w:numPr>
      </w:pPr>
      <w:r>
        <w:t xml:space="preserve">population-level false-positive / false-negative calibration;</w:t>
      </w:r>
    </w:p>
    <w:p>
      <w:pPr>
        <w:pStyle w:val="Compact"/>
        <w:numPr>
          <w:ilvl w:val="0"/>
          <w:numId w:val="1003"/>
        </w:numPr>
      </w:pPr>
      <w:r>
        <w:t xml:space="preserve">production performance/SLA acceptance;</w:t>
      </w:r>
    </w:p>
    <w:p>
      <w:pPr>
        <w:pStyle w:val="Compact"/>
        <w:numPr>
          <w:ilvl w:val="0"/>
          <w:numId w:val="1003"/>
        </w:numPr>
      </w:pPr>
      <w:r>
        <w:t xml:space="preserve">that the 52 current E2E cases were generated by FARES.</w:t>
      </w:r>
    </w:p>
    <w:p>
      <w:pPr>
        <w:pStyle w:val="FirstParagraph"/>
      </w:pPr>
      <w:r>
        <w:t xml:space="preserve">The current 52-case Golden Path test constructs deterministic API payloads directly in the Platform test suite. FARES remains a separate synthetic banking producer/validation boundary.</w:t>
      </w:r>
    </w:p>
    <w:p>
      <w:pPr>
        <w:pStyle w:val="Heading2"/>
      </w:pPr>
      <w:bookmarkStart w:id="22" w:name="_b6d834ca5fbc8bf0c8e42ba36ef92fbb69c3e58"/>
      <w:r>
        <w:t xml:space="preserve">9. Canonical references</w:t>
      </w:r>
    </w:p>
    <w:p>
      <w:pPr>
        <w:pStyle w:val="Compact"/>
        <w:numPr>
          <w:ilvl w:val="0"/>
          <w:numId w:val="1004"/>
        </w:numPr>
      </w:pPr>
      <w:r>
        <w:t xml:space="preserve">Scenario SSOT:</w:t>
      </w:r>
      <w:r>
        <w:t xml:space="preserve"> </w:t>
      </w:r>
      <w:r>
        <w:rPr>
          <w:rStyle w:val="VerbatimChar"/>
        </w:rPr>
        <w:t xml:space="preserve">src/domains/aml/scenarios/catalog.py</w:t>
      </w:r>
    </w:p>
    <w:p>
      <w:pPr>
        <w:pStyle w:val="Compact"/>
        <w:numPr>
          <w:ilvl w:val="0"/>
          <w:numId w:val="1004"/>
        </w:numPr>
      </w:pPr>
      <w:r>
        <w:t xml:space="preserve">Capability SSOT:</w:t>
      </w:r>
      <w:r>
        <w:t xml:space="preserve"> </w:t>
      </w:r>
      <w:r>
        <w:rPr>
          <w:rStyle w:val="VerbatimChar"/>
        </w:rPr>
        <w:t xml:space="preserve">src/domains/aml/scenarios/bank_grade.py</w:t>
      </w:r>
    </w:p>
    <w:p>
      <w:pPr>
        <w:pStyle w:val="Compact"/>
        <w:numPr>
          <w:ilvl w:val="0"/>
          <w:numId w:val="1004"/>
        </w:numPr>
      </w:pPr>
      <w:r>
        <w:t xml:space="preserve">Execution:</w:t>
      </w:r>
      <w:r>
        <w:t xml:space="preserve"> </w:t>
      </w:r>
      <w:r>
        <w:rPr>
          <w:rStyle w:val="VerbatimChar"/>
        </w:rPr>
        <w:t xml:space="preserve">src/domains/aml/scenarios/execution.py</w:t>
      </w:r>
    </w:p>
    <w:p>
      <w:pPr>
        <w:pStyle w:val="Compact"/>
        <w:numPr>
          <w:ilvl w:val="0"/>
          <w:numId w:val="1004"/>
        </w:numPr>
      </w:pPr>
      <w:r>
        <w:t xml:space="preserve">Runtime composition:</w:t>
      </w:r>
      <w:r>
        <w:t xml:space="preserve"> </w:t>
      </w:r>
      <w:r>
        <w:rPr>
          <w:rStyle w:val="VerbatimChar"/>
        </w:rPr>
        <w:t xml:space="preserve">src/bootstrap/container.py</w:t>
      </w:r>
    </w:p>
    <w:p>
      <w:pPr>
        <w:pStyle w:val="Compact"/>
        <w:numPr>
          <w:ilvl w:val="0"/>
          <w:numId w:val="1004"/>
        </w:numPr>
      </w:pPr>
      <w:r>
        <w:t xml:space="preserve">Canonical E2E authority:</w:t>
      </w:r>
      <w:r>
        <w:t xml:space="preserve"> </w:t>
      </w:r>
      <w:r>
        <w:rPr>
          <w:rStyle w:val="VerbatimChar"/>
        </w:rPr>
        <w:t xml:space="preserve">tests/test_e2e_transparent_golden_path.py</w:t>
      </w:r>
    </w:p>
    <w:p>
      <w:pPr>
        <w:pStyle w:val="Compact"/>
        <w:numPr>
          <w:ilvl w:val="0"/>
          <w:numId w:val="1004"/>
        </w:numPr>
      </w:pPr>
      <w:r>
        <w:t xml:space="preserve">E2E guard:</w:t>
      </w:r>
      <w:r>
        <w:t xml:space="preserve"> </w:t>
      </w:r>
      <w:r>
        <w:rPr>
          <w:rStyle w:val="VerbatimChar"/>
        </w:rPr>
        <w:t xml:space="preserve">tests/architecture/test_no_parallel_e2e.py</w:t>
      </w:r>
    </w:p>
    <w:p>
      <w:pPr>
        <w:pStyle w:val="Compact"/>
        <w:numPr>
          <w:ilvl w:val="0"/>
          <w:numId w:val="1004"/>
        </w:numPr>
      </w:pPr>
      <w:r>
        <w:t xml:space="preserve">AML assurance register:</w:t>
      </w:r>
      <w:r>
        <w:t xml:space="preserve"> </w:t>
      </w:r>
      <w:r>
        <w:rPr>
          <w:rStyle w:val="VerbatimChar"/>
        </w:rPr>
        <w:t xml:space="preserve">docs/verification/HISN_BANK_GRADE_59_ASSURANCE_REGISTER_2026-09-26.md</w:t>
      </w:r>
    </w:p>
    <w:p>
      <w:pPr>
        <w:pStyle w:val="Compact"/>
        <w:numPr>
          <w:ilvl w:val="0"/>
          <w:numId w:val="1004"/>
        </w:numPr>
      </w:pPr>
      <w:r>
        <w:t xml:space="preserve">Golden Path:</w:t>
      </w:r>
      <w:r>
        <w:t xml:space="preserve"> </w:t>
      </w:r>
      <w:r>
        <w:rPr>
          <w:rStyle w:val="VerbatimChar"/>
        </w:rPr>
        <w:t xml:space="preserve">docs/architecture/identity-foundation/code-gate/HISN_GOLDEN_PATH.md</w:t>
      </w:r>
    </w:p>
    <w:p>
      <w:pPr>
        <w:pStyle w:val="Heading2"/>
      </w:pPr>
      <w:bookmarkStart w:id="23" w:name="_c1e7168ea1e88c029da10e235d2d711d9fb6cc4"/>
      <w:r>
        <w:t xml:space="preserve">10. Evidence maintenance rule</w:t>
      </w:r>
    </w:p>
    <w:p>
      <w:pPr>
        <w:pStyle w:val="FirstParagraph"/>
      </w:pPr>
      <w:r>
        <w:t xml:space="preserve">The numeric evidence in this record is tied to executable code baseline</w:t>
      </w:r>
      <w:r>
        <w:t xml:space="preserve"> </w:t>
      </w:r>
      <w:r>
        <w:rPr>
          <w:rStyle w:val="VerbatimChar"/>
        </w:rPr>
        <w:t xml:space="preserve">6e3d41ce48757cfc8d2647a6f0396f81a164fb5d</w:t>
      </w:r>
      <w:r>
        <w:t xml:space="preserve">. Subsequent commits referenced by this repository after the test run are documentation/navigation changes only; the evidence counts above were not retroactively recomputed.</w:t>
      </w:r>
    </w:p>
    <w:p>
      <w:pPr>
        <w:pStyle w:val="BodyText"/>
      </w:pPr>
      <w:r>
        <w:rPr>
          <w:b/>
          <w:bCs/>
        </w:rPr>
        <w:t xml:space="preserve">Evidence follows the commit.</w:t>
      </w:r>
      <w:r>
        <w:t xml:space="preserve"> </w:t>
      </w:r>
      <w:r>
        <w:t xml:space="preserve">Do not update test counts in documentation without rerunning the exact commands against the declared commit.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Current conclusion:</w:t>
      </w:r>
      <w:r>
        <w:t xml:space="preserve"> </w:t>
      </w:r>
      <w:r>
        <w:t xml:space="preserve">AML-59 is a frozen, executable, regression-tested backend assurance baseline. Further AML scope expansion requires an explicit governance/change decision; it must not appear silently as an untracked TM-053+ population.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AML59 E2E ASSURANCE 2026-09-27</dc:title>
  <dc:creator>HISN Platform</dc:creator>
  <cp:keywords>HISN, FCDOS, financial crime, decision operating system</cp:keywords>
  <dcterms:created xsi:type="dcterms:W3CDTF">2026-10-13T12:57:01Z</dcterms:created>
  <dcterms:modified xsi:type="dcterms:W3CDTF">2026-10-13T12:57:01Z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