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b13576f2796ffd15138925ccaf4b56e38a6db4a"/>
      <w:r>
        <w:t xml:space="preserve">HISN AML Execution Model &amp; Capability Assurance — 2026-09-26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ACTIVE — canonical main runtime state</w:t>
      </w:r>
      <w:r>
        <w:br/>
      </w:r>
      <w:r>
        <w:rPr>
          <w:b/>
          <w:bCs/>
        </w:rPr>
        <w:t xml:space="preserve">Canonical branch:</w:t>
      </w:r>
      <w:r>
        <w:t xml:space="preserve"> </w:t>
      </w:r>
      <w:r>
        <w:rPr>
          <w:rStyle w:val="VerbatimChar"/>
        </w:rPr>
        <w:t xml:space="preserve">main</w:t>
      </w:r>
      <w:r>
        <w:br/>
      </w:r>
      <w:r>
        <w:rPr>
          <w:b/>
          <w:bCs/>
        </w:rPr>
        <w:t xml:space="preserve">Scope:</w:t>
      </w:r>
      <w:r>
        <w:t xml:space="preserve"> </w:t>
      </w:r>
      <w:r>
        <w:t xml:space="preserve">Legacy AML seam closure, canonical scenario execution model, TM-001 reference scenario, fixed seven operational capabilities.</w:t>
      </w:r>
    </w:p>
    <w:p>
      <w:pPr>
        <w:pStyle w:val="Heading2"/>
      </w:pPr>
      <w:bookmarkStart w:id="10" w:name="_1c36ef6071388f1090e90a7d2780ebbca6fb911"/>
      <w:r>
        <w:t xml:space="preserve">1. Legacy seam closure</w:t>
      </w:r>
    </w:p>
    <w:p>
      <w:pPr>
        <w:pStyle w:val="FirstParagraph"/>
      </w:pPr>
      <w:r>
        <w:t xml:space="preserve">The prior runtime path was:</w:t>
      </w:r>
    </w:p>
    <w:p>
      <w:pPr>
        <w:pStyle w:val="BodyText"/>
      </w:pPr>
      <w:r>
        <w:rPr>
          <w:rStyle w:val="VerbatimChar"/>
        </w:rPr>
        <w:t xml:space="preserve">AMLProvider → AMLRepository → services/aml/rules.yaml</w:t>
      </w:r>
    </w:p>
    <w:p>
      <w:pPr>
        <w:pStyle w:val="BodyText"/>
      </w:pPr>
      <w:r>
        <w:t xml:space="preserve">The branch now removes that production path: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AMLProvider</w:t>
      </w:r>
      <w:r>
        <w:t xml:space="preserve"> </w:t>
      </w:r>
      <w:r>
        <w:t xml:space="preserve">reads scenario metadata from</w:t>
      </w:r>
      <w:r>
        <w:t xml:space="preserve"> </w:t>
      </w:r>
      <w:r>
        <w:rPr>
          <w:rStyle w:val="VerbatimChar"/>
        </w:rPr>
        <w:t xml:space="preserve">src/domains/aml/scenarios/catalog.py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The legacy</w:t>
      </w:r>
      <w:r>
        <w:t xml:space="preserve"> </w:t>
      </w:r>
      <w:r>
        <w:rPr>
          <w:rStyle w:val="VerbatimChar"/>
        </w:rPr>
        <w:t xml:space="preserve">src/repositories/aml_repository.py</w:t>
      </w:r>
      <w:r>
        <w:t xml:space="preserve"> </w:t>
      </w:r>
      <w:r>
        <w:t xml:space="preserve">was deleted.</w:t>
      </w:r>
    </w:p>
    <w:p>
      <w:pPr>
        <w:pStyle w:val="Compact"/>
        <w:numPr>
          <w:ilvl w:val="0"/>
          <w:numId w:val="1001"/>
        </w:numPr>
      </w:pPr>
      <w:r>
        <w:t xml:space="preserve">The legacy</w:t>
      </w:r>
      <w:r>
        <w:t xml:space="preserve"> </w:t>
      </w:r>
      <w:r>
        <w:rPr>
          <w:rStyle w:val="VerbatimChar"/>
        </w:rPr>
        <w:t xml:space="preserve">services/aml/rules.yaml</w:t>
      </w:r>
      <w:r>
        <w:t xml:space="preserve"> </w:t>
      </w:r>
      <w:r>
        <w:t xml:space="preserve">was deleted.</w:t>
      </w:r>
    </w:p>
    <w:p>
      <w:pPr>
        <w:pStyle w:val="Compact"/>
        <w:numPr>
          <w:ilvl w:val="0"/>
          <w:numId w:val="1001"/>
        </w:numPr>
      </w:pPr>
      <w:r>
        <w:t xml:space="preserve">The legacy</w:t>
      </w:r>
      <w:r>
        <w:t xml:space="preserve"> </w:t>
      </w:r>
      <w:r>
        <w:rPr>
          <w:rStyle w:val="VerbatimChar"/>
        </w:rPr>
        <w:t xml:space="preserve">services/aml/engine.py</w:t>
      </w:r>
      <w:r>
        <w:t xml:space="preserve"> </w:t>
      </w:r>
      <w:r>
        <w:t xml:space="preserve">was deleted.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services/aml/manifest.yaml</w:t>
      </w:r>
      <w:r>
        <w:t xml:space="preserve"> </w:t>
      </w:r>
      <w:r>
        <w:t xml:space="preserve">remains only as dormant historical recovery metadata and is explicitly disabled.</w:t>
      </w:r>
    </w:p>
    <w:p>
      <w:pPr>
        <w:pStyle w:val="FirstParagraph"/>
      </w:pPr>
      <w:r>
        <w:t xml:space="preserve">A dedicated regression file is present at:</w:t>
      </w:r>
    </w:p>
    <w:p>
      <w:pPr>
        <w:pStyle w:val="BodyText"/>
      </w:pPr>
      <w:r>
        <w:rPr>
          <w:rStyle w:val="VerbatimChar"/>
        </w:rPr>
        <w:t xml:space="preserve">tests/test_aml_legacy_seam_closure.py</w:t>
      </w:r>
    </w:p>
    <w:p>
      <w:pPr>
        <w:pStyle w:val="Heading2"/>
      </w:pPr>
      <w:bookmarkStart w:id="11" w:name="_eb22f8e261426046c42c1195435b2f80c913ec5"/>
      <w:r>
        <w:t xml:space="preserve">2. Canonical execution model</w:t>
      </w:r>
    </w:p>
    <w:p>
      <w:pPr>
        <w:pStyle w:val="FirstParagraph"/>
      </w:pPr>
      <w:r>
        <w:t xml:space="preserve">The AML path is now:</w:t>
      </w:r>
    </w:p>
    <w:p>
      <w:pPr>
        <w:pStyle w:val="BodyText"/>
      </w:pPr>
      <w:r>
        <w:rPr>
          <w:rStyle w:val="VerbatimChar"/>
        </w:rPr>
        <w:t xml:space="preserve">Scenario Registry → AMLScenarioExecutionEngine → Policy Instance → Canonical AML Rule → Finding/Evidence metadata → Decision Runtime</w:t>
      </w:r>
    </w:p>
    <w:p>
      <w:pPr>
        <w:pStyle w:val="BodyText"/>
      </w:pPr>
      <w:r>
        <w:t xml:space="preserve">The execution component does not create one engine per scenario. It owns:</w:t>
      </w:r>
    </w:p>
    <w:p>
      <w:pPr>
        <w:pStyle w:val="Compact"/>
        <w:numPr>
          <w:ilvl w:val="0"/>
          <w:numId w:val="1002"/>
        </w:numPr>
      </w:pPr>
      <w:r>
        <w:t xml:space="preserve">scenario ownership/status semantics;</w:t>
      </w:r>
    </w:p>
    <w:p>
      <w:pPr>
        <w:pStyle w:val="Compact"/>
        <w:numPr>
          <w:ilvl w:val="0"/>
          <w:numId w:val="1002"/>
        </w:numPr>
      </w:pPr>
      <w:r>
        <w:t xml:space="preserve">policy-instance selection;</w:t>
      </w:r>
    </w:p>
    <w:p>
      <w:pPr>
        <w:pStyle w:val="Compact"/>
        <w:numPr>
          <w:ilvl w:val="0"/>
          <w:numId w:val="1002"/>
        </w:numPr>
      </w:pPr>
      <w:r>
        <w:t xml:space="preserve">deterministic specificity ordering;</w:t>
      </w:r>
    </w:p>
    <w:p>
      <w:pPr>
        <w:pStyle w:val="Compact"/>
        <w:numPr>
          <w:ilvl w:val="0"/>
          <w:numId w:val="1002"/>
        </w:numPr>
      </w:pPr>
      <w:r>
        <w:t xml:space="preserve">scenario/version/policy metadata;</w:t>
      </w:r>
    </w:p>
    <w:p>
      <w:pPr>
        <w:pStyle w:val="Compact"/>
        <w:numPr>
          <w:ilvl w:val="0"/>
          <w:numId w:val="1002"/>
        </w:numPr>
      </w:pPr>
      <w:r>
        <w:t xml:space="preserve">active versus supporting-component execution semantics.</w:t>
      </w:r>
    </w:p>
    <w:p>
      <w:pPr>
        <w:pStyle w:val="FirstParagraph"/>
      </w:pPr>
      <w:r>
        <w:t xml:space="preserve">The current registry still contains exactly 52 scenario IDs.</w:t>
      </w:r>
    </w:p>
    <w:p>
      <w:pPr>
        <w:pStyle w:val="Heading2"/>
      </w:pPr>
      <w:bookmarkStart w:id="12" w:name="_ace11d7e87a4b55ed5dc1b657fbd0dd032952ad"/>
      <w:r>
        <w:t xml:space="preserve">3. TM-001 reference scenario</w:t>
      </w:r>
    </w:p>
    <w:p>
      <w:pPr>
        <w:pStyle w:val="FirstParagraph"/>
      </w:pPr>
      <w:r>
        <w:t xml:space="preserve">TM-001 STRUCTURING is the reference implementation for the model.</w:t>
      </w:r>
    </w:p>
    <w:p>
      <w:pPr>
        <w:pStyle w:val="BodyText"/>
      </w:pPr>
      <w:r>
        <w:t xml:space="preserve">Policy instances now include: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TM-001-SA-RETAIL-BASELINE-001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TM-001-SA-CORPORATE-BASELINE-001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TM-001-GLOBAL-DEFAULT-001</w:t>
      </w:r>
    </w:p>
    <w:p>
      <w:pPr>
        <w:pStyle w:val="FirstParagraph"/>
      </w:pPr>
      <w:r>
        <w:t xml:space="preserve">The policy contract controls:</w:t>
      </w:r>
    </w:p>
    <w:p>
      <w:pPr>
        <w:pStyle w:val="Compact"/>
        <w:numPr>
          <w:ilvl w:val="0"/>
          <w:numId w:val="1004"/>
        </w:numPr>
      </w:pPr>
      <w:r>
        <w:t xml:space="preserve">transaction type;</w:t>
      </w:r>
    </w:p>
    <w:p>
      <w:pPr>
        <w:pStyle w:val="Compact"/>
        <w:numPr>
          <w:ilvl w:val="0"/>
          <w:numId w:val="1004"/>
        </w:numPr>
      </w:pPr>
      <w:r>
        <w:t xml:space="preserve">minimum and maximum amount;</w:t>
      </w:r>
    </w:p>
    <w:p>
      <w:pPr>
        <w:pStyle w:val="Compact"/>
        <w:numPr>
          <w:ilvl w:val="0"/>
          <w:numId w:val="1004"/>
        </w:numPr>
      </w:pPr>
      <w:r>
        <w:t xml:space="preserve">lookback window;</w:t>
      </w:r>
    </w:p>
    <w:p>
      <w:pPr>
        <w:pStyle w:val="Compact"/>
        <w:numPr>
          <w:ilvl w:val="0"/>
          <w:numId w:val="1004"/>
        </w:numPr>
      </w:pPr>
      <w:r>
        <w:t xml:space="preserve">minimum prior qualifying transactions;</w:t>
      </w:r>
    </w:p>
    <w:p>
      <w:pPr>
        <w:pStyle w:val="Compact"/>
        <w:numPr>
          <w:ilvl w:val="0"/>
          <w:numId w:val="1004"/>
        </w:numPr>
      </w:pPr>
      <w:r>
        <w:t xml:space="preserve">channel;</w:t>
      </w:r>
    </w:p>
    <w:p>
      <w:pPr>
        <w:pStyle w:val="Compact"/>
        <w:numPr>
          <w:ilvl w:val="0"/>
          <w:numId w:val="1004"/>
        </w:numPr>
      </w:pPr>
      <w:r>
        <w:t xml:space="preserve">customer segment;</w:t>
      </w:r>
    </w:p>
    <w:p>
      <w:pPr>
        <w:pStyle w:val="Compact"/>
        <w:numPr>
          <w:ilvl w:val="0"/>
          <w:numId w:val="1004"/>
        </w:numPr>
      </w:pPr>
      <w:r>
        <w:t xml:space="preserve">jurisdiction.</w:t>
      </w:r>
    </w:p>
    <w:p>
      <w:pPr>
        <w:pStyle w:val="FirstParagraph"/>
      </w:pPr>
      <w:r>
        <w:t xml:space="preserve">Corporate and retail policy instances intentionally differ in their minimum prior-transaction threshold. This is a policy-instance variation, not a new scenario or engine.</w:t>
      </w:r>
    </w:p>
    <w:p>
      <w:pPr>
        <w:pStyle w:val="Heading2"/>
      </w:pPr>
      <w:bookmarkStart w:id="13" w:name="_c23e52a1208d76472abf923165e23e0c7c16bb4"/>
      <w:r>
        <w:t xml:space="preserve">4. Evidence and replay contract</w:t>
      </w:r>
    </w:p>
    <w:p>
      <w:pPr>
        <w:pStyle w:val="FirstParagraph"/>
      </w:pPr>
      <w:r>
        <w:t xml:space="preserve">TM-001 findings carry: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scenario_id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scenario_version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policy_version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policy_instance_id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scenario_status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execution_mode</w:t>
      </w:r>
    </w:p>
    <w:p>
      <w:pPr>
        <w:pStyle w:val="FirstParagraph"/>
      </w:pPr>
      <w:r>
        <w:t xml:space="preserve">The new tests cover:</w:t>
      </w:r>
    </w:p>
    <w:p>
      <w:pPr>
        <w:pStyle w:val="Compact"/>
        <w:numPr>
          <w:ilvl w:val="0"/>
          <w:numId w:val="1006"/>
        </w:numPr>
      </w:pPr>
      <w:r>
        <w:t xml:space="preserve">positive match;</w:t>
      </w:r>
    </w:p>
    <w:p>
      <w:pPr>
        <w:pStyle w:val="Compact"/>
        <w:numPr>
          <w:ilvl w:val="0"/>
          <w:numId w:val="1006"/>
        </w:numPr>
      </w:pPr>
      <w:r>
        <w:t xml:space="preserve">negative match;</w:t>
      </w:r>
    </w:p>
    <w:p>
      <w:pPr>
        <w:pStyle w:val="Compact"/>
        <w:numPr>
          <w:ilvl w:val="0"/>
          <w:numId w:val="1006"/>
        </w:numPr>
      </w:pPr>
      <w:r>
        <w:t xml:space="preserve">amount boundaries 39,999 / 40,000 / 49,999 / 50,000;</w:t>
      </w:r>
    </w:p>
    <w:p>
      <w:pPr>
        <w:pStyle w:val="Compact"/>
        <w:numPr>
          <w:ilvl w:val="0"/>
          <w:numId w:val="1006"/>
        </w:numPr>
      </w:pPr>
      <w:r>
        <w:t xml:space="preserve">policy-instance specificity;</w:t>
      </w:r>
    </w:p>
    <w:p>
      <w:pPr>
        <w:pStyle w:val="Compact"/>
        <w:numPr>
          <w:ilvl w:val="0"/>
          <w:numId w:val="1006"/>
        </w:numPr>
      </w:pPr>
      <w:r>
        <w:t xml:space="preserve">replay determinism for identical input and policy;</w:t>
      </w:r>
    </w:p>
    <w:p>
      <w:pPr>
        <w:pStyle w:val="Compact"/>
        <w:numPr>
          <w:ilvl w:val="0"/>
          <w:numId w:val="1006"/>
        </w:numPr>
      </w:pPr>
      <w:r>
        <w:t xml:space="preserve">fail-closed policy resolution;</w:t>
      </w:r>
    </w:p>
    <w:p>
      <w:pPr>
        <w:pStyle w:val="Compact"/>
        <w:numPr>
          <w:ilvl w:val="0"/>
          <w:numId w:val="1006"/>
        </w:numPr>
      </w:pPr>
      <w:r>
        <w:t xml:space="preserve">explicit ACTIVE semantics for TM-007 and the remaining generic scenario policies.</w:t>
      </w:r>
    </w:p>
    <w:p>
      <w:pPr>
        <w:pStyle w:val="FirstParagraph"/>
      </w:pPr>
      <w:r>
        <w:t xml:space="preserve">These are code-level proofs. Full repository pytest execution on this branch is still required before marking the tranche PASS.</w:t>
      </w:r>
    </w:p>
    <w:p>
      <w:pPr>
        <w:pStyle w:val="Heading2"/>
      </w:pPr>
      <w:bookmarkStart w:id="14" w:name="_f1a3ff1fce4335a1a0cb5d36565ad8cb0f32964"/>
      <w:r>
        <w:t xml:space="preserve">5. Current 52-scenario truth</w:t>
      </w:r>
    </w:p>
    <w:p>
      <w:pPr>
        <w:pStyle w:val="FirstParagraph"/>
      </w:pPr>
      <w:r>
        <w:t xml:space="preserve">All 52 IDs are controlled, versioned, enabled, and ACTIVE in the canonical runtime baseline.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6"/>
        <w:gridCol w:w="3168"/>
        <w:gridCol w:w="237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Count</w:t>
            </w:r>
          </w:p>
        </w:tc>
        <w:tc>
          <w:tcPr/>
          <w:p>
            <w:pPr>
              <w:pStyle w:val="Compact"/>
            </w:pPr>
            <w:r>
              <w:t xml:space="preserve">Interpretation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ACTIVE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TM-001 through TM-052 are runtime-enabled through canonical engine-backed rules or versioned policy instances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PARTIAL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no scenario remains at PARTIAL in the runtime catalog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FOUNDATION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no scenario remains at FOUNDATION in the runtime catalog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EXISTS-ELSEWHERE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no scenario remains at this status in the AML runtime catalog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GAP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no scenario remains at GAP in the runtime catalog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SPECIALIST-DATA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specialist-data scenarios are enabled against their approved HISN baseline input contracts; external source/provider activation remains separately governed</w:t>
            </w:r>
          </w:p>
        </w:tc>
      </w:tr>
    </w:tbl>
    <w:p>
      <w:pPr>
        <w:pStyle w:val="FirstParagraph"/>
      </w:pPr>
      <w:r>
        <w:t xml:space="preserve">No new TM-053+ scenario was added.</w:t>
      </w:r>
    </w:p>
    <w:p>
      <w:pPr>
        <w:pStyle w:val="Heading2"/>
      </w:pPr>
      <w:bookmarkStart w:id="15" w:name="_043dd939ff4ddd1381cd07e31a279a5075b2cfa"/>
      <w:r>
        <w:t xml:space="preserve">6. Fixed seven capabilities — current runtime state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Current runtime 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Alert → Case → STR</w:t>
            </w:r>
          </w:p>
        </w:tc>
        <w:tc>
          <w:tcPr/>
          <w:p>
            <w:pPr>
              <w:pStyle w:val="Compact"/>
            </w:pPr>
            <w:r>
              <w:t xml:space="preserve">ACTIVE — canonical internal alert/case/STR lineage checkpoint; external regulator submission is separate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+ Replay</w:t>
            </w:r>
          </w:p>
        </w:tc>
        <w:tc>
          <w:tcPr/>
          <w:p>
            <w:pPr>
              <w:pStyle w:val="Compact"/>
            </w:pPr>
            <w:r>
              <w:t xml:space="preserve">ACTIVE — evidence persistence, Decision DNA and replay/idempotency checkpoint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Maker-Checker</w:t>
            </w:r>
          </w:p>
        </w:tc>
        <w:tc>
          <w:tcPr/>
          <w:p>
            <w:pPr>
              <w:pStyle w:val="Compact"/>
            </w:pPr>
            <w:r>
              <w:t xml:space="preserve">ACTIVE — governed maker/checker workflow with self-approval denial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Scenario/Policy Versioning</w:t>
            </w:r>
          </w:p>
        </w:tc>
        <w:tc>
          <w:tcPr/>
          <w:p>
            <w:pPr>
              <w:pStyle w:val="Compact"/>
            </w:pPr>
            <w:r>
              <w:t xml:space="preserve">ACTIVE — canonical versioned scenario/policy metadata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TFS / Sanctions</w:t>
            </w:r>
          </w:p>
        </w:tc>
        <w:tc>
          <w:tcPr/>
          <w:p>
            <w:pPr>
              <w:pStyle w:val="Compact"/>
            </w:pPr>
            <w:r>
              <w:t xml:space="preserve">ACTIVE — canonical sanctions/TM-051 composition checkpoint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Wire Transfer Intelligence</w:t>
            </w:r>
          </w:p>
        </w:tc>
        <w:tc>
          <w:tcPr/>
          <w:p>
            <w:pPr>
              <w:pStyle w:val="Compact"/>
            </w:pPr>
            <w:r>
              <w:t xml:space="preserve">ACTIVE — canonical originator/beneficiary/wire checkpoint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Behavioral / ML</w:t>
            </w:r>
          </w:p>
        </w:tc>
        <w:tc>
          <w:tcPr/>
          <w:p>
            <w:pPr>
              <w:pStyle w:val="Compact"/>
            </w:pPr>
            <w:r>
              <w:t xml:space="preserve">ACTIVE — behavioral scenario + fail-closed ML boundary; external approved model artifact remains separately governed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ACTIVE in this document means enabled in the HISN canonical runtime/control registry. It does not by itself mean SAMA certification, SAFIU/GoAML production submission, external-provider activation, or production model approval.</w:t>
      </w:r>
    </w:p>
    <w:p>
      <w:pPr>
        <w:pStyle w:val="Heading2"/>
      </w:pPr>
      <w:bookmarkStart w:id="16" w:name="_6c56e3cdfee16c920c0d59a85aaf2146eba724a"/>
      <w:r>
        <w:t xml:space="preserve">7. Runtime validation gate</w:t>
      </w:r>
    </w:p>
    <w:p>
      <w:pPr>
        <w:pStyle w:val="FirstParagraph"/>
      </w:pPr>
      <w:r>
        <w:t xml:space="preserve">Run exactly:</w:t>
      </w:r>
    </w:p>
    <w:p>
      <w:pPr>
        <w:pStyle w:val="SourceCode"/>
      </w:pPr>
      <w:r>
        <w:rPr>
          <w:rStyle w:val="ExtensionTok"/>
        </w:rPr>
        <w:t xml:space="preserve">pytest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-q</w:t>
      </w:r>
      <w:r>
        <w:rPr>
          <w:rStyle w:val="NormalTok"/>
        </w:rPr>
        <w:t xml:space="preserve"> tests/test_aml_legacy_seam_closure.py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tests/test_aml_execution_model.py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tests/test_aml_scenario_registry.py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tests/test_aml_bank_grade_assurance.py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tests/test_gate04b_aml_scenarios.py</w:t>
      </w:r>
      <w:r>
        <w:br/>
      </w:r>
      <w:r>
        <w:br/>
      </w:r>
      <w:r>
        <w:rPr>
          <w:rStyle w:val="ExtensionTok"/>
        </w:rPr>
        <w:t xml:space="preserve">pytest</w:t>
      </w:r>
    </w:p>
    <w:p>
      <w:pPr>
        <w:pStyle w:val="FirstParagraph"/>
      </w:pPr>
      <w:r>
        <w:t xml:space="preserve">Required merge standard remains:</w:t>
      </w:r>
    </w:p>
    <w:p>
      <w:pPr>
        <w:pStyle w:val="Compact"/>
        <w:numPr>
          <w:ilvl w:val="0"/>
          <w:numId w:val="1007"/>
        </w:numPr>
      </w:pPr>
      <w:r>
        <w:t xml:space="preserve">0 skipped</w:t>
      </w:r>
    </w:p>
    <w:p>
      <w:pPr>
        <w:pStyle w:val="Compact"/>
        <w:numPr>
          <w:ilvl w:val="0"/>
          <w:numId w:val="1007"/>
        </w:numPr>
      </w:pPr>
      <w:r>
        <w:t xml:space="preserve">0 failed</w:t>
      </w:r>
    </w:p>
    <w:p>
      <w:pPr>
        <w:pStyle w:val="Compact"/>
        <w:numPr>
          <w:ilvl w:val="0"/>
          <w:numId w:val="1007"/>
        </w:numPr>
      </w:pPr>
      <w:r>
        <w:t xml:space="preserve">0 errors</w:t>
      </w:r>
    </w:p>
    <w:p>
      <w:pPr>
        <w:pStyle w:val="FirstParagraph"/>
      </w:pPr>
      <w:r>
        <w:t xml:space="preserve">The ACTIVE-state commits were applied directly to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 A fresh local targeted/full-suite run on the resulting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HEAD is required before the new ACTIVE state is recorded as current-main test PASS evidence.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Compliance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AML EXECUTION MODEL 2026-09-26</dc:title>
  <dc:creator>HISN Platform</dc:creator>
  <cp:keywords>HISN, FCDOS, financial crime, decision operating system</cp:keywords>
  <dcterms:created xsi:type="dcterms:W3CDTF">2026-10-13T12:57:01Z</dcterms:created>
  <dcterms:modified xsi:type="dcterms:W3CDTF">2026-10-13T12:57:01Z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