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e2a1aa4762add68a441cbb6ef7e3644eaf3007"/>
      <w:r>
        <w:t xml:space="preserve">HISN — Bank-Grade AML Assurance Test Standard v1.0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2026-09-26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Canonical AML/TM capability and its integration with the HISN Decision Runtime.</w:t>
      </w:r>
      <w:r>
        <w:br/>
      </w:r>
      <w:r>
        <w:rPr>
          <w:b/>
          <w:bCs/>
        </w:rPr>
        <w:t xml:space="preserve">Purpose:</w:t>
      </w:r>
      <w:r>
        <w:t xml:space="preserve"> </w:t>
      </w:r>
      <w:r>
        <w:t xml:space="preserve">Define the minimum executable assurance bar for a regulated-bank technical due-diligence environment.</w:t>
      </w:r>
    </w:p>
    <w:p>
      <w:pPr>
        <w:pStyle w:val="Heading2"/>
      </w:pPr>
      <w:bookmarkStart w:id="10" w:name="_9720d56876372fd4b893e0585ffcd5b4204b08f"/>
      <w:r>
        <w:t xml:space="preserve">1. Regulatory basis</w:t>
      </w:r>
    </w:p>
    <w:p>
      <w:pPr>
        <w:pStyle w:val="FirstParagraph"/>
      </w:pPr>
      <w:r>
        <w:t xml:space="preserve">This standard is derived from the control intent of the SAMA AML/CTF monitoring requirements and SAMA Cyber Security Framework.</w:t>
      </w:r>
    </w:p>
    <w:p>
      <w:pPr>
        <w:pStyle w:val="BodyText"/>
      </w:pPr>
      <w:r>
        <w:t xml:space="preserve">SAMA requires financial institutions to maintain risk-based, ongoing monitoring; identify unusual transactions and activities; apply enhanced monitoring to higher-risk customers/transactions; periodically test monitoring tools and document the results; and continuously update indicators and typologies. SAMA also expects electronic monitoring systems to be suitable to the institution’s risk profile and integrated with core systems.</w:t>
      </w:r>
    </w:p>
    <w:p>
      <w:pPr>
        <w:pStyle w:val="BodyText"/>
      </w:pPr>
      <w:r>
        <w:t xml:space="preserve">SAMA’s Cyber Security Framework requires application-security standards, secure SDLC, effectiveness measurement, segregation of duties, data protection, vulnerability management, backup/recovery, and periodic security review.</w:t>
      </w:r>
    </w:p>
    <w:p>
      <w:pPr>
        <w:pStyle w:val="BodyText"/>
      </w:pPr>
      <w:r>
        <w:rPr>
          <w:b/>
          <w:bCs/>
        </w:rPr>
        <w:t xml:space="preserve">This standard is an assurance/product-control standard. It is not SAMA certification and does not replace an institution’s own ML/TF risk assessment, policies, regulatory interpretation, or independent assurance.</w:t>
      </w:r>
    </w:p>
    <w:p>
      <w:pPr>
        <w:pStyle w:val="Heading2"/>
      </w:pPr>
      <w:bookmarkStart w:id="11" w:name="_7d07e4c0af13e7b33bbf53ac7297122f21ff14d"/>
      <w:r>
        <w:t xml:space="preserve">2. Bank-grade assurance layers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Mandatory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L0 Authority</w:t>
            </w:r>
          </w:p>
        </w:tc>
        <w:tc>
          <w:tcPr/>
          <w:p>
            <w:pPr>
              <w:pStyle w:val="Compact"/>
            </w:pPr>
            <w:r>
              <w:t xml:space="preserve">One canonical owner and no duplicate runtime authority</w:t>
            </w:r>
          </w:p>
        </w:tc>
        <w:tc>
          <w:tcPr/>
          <w:p>
            <w:pPr>
              <w:pStyle w:val="Compact"/>
            </w:pPr>
            <w:r>
              <w:t xml:space="preserve">composition-root proof + consumer 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L1 Rule correctness</w:t>
            </w:r>
          </w:p>
        </w:tc>
        <w:tc>
          <w:tcPr/>
          <w:p>
            <w:pPr>
              <w:pStyle w:val="Compact"/>
            </w:pPr>
            <w:r>
              <w:t xml:space="preserve">Positive, negative, boundary and normalization behavior</w:t>
            </w:r>
          </w:p>
        </w:tc>
        <w:tc>
          <w:tcPr/>
          <w:p>
            <w:pPr>
              <w:pStyle w:val="Compact"/>
            </w:pPr>
            <w:r>
              <w:t xml:space="preserve">unit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L2 Contract</w:t>
            </w:r>
          </w:p>
        </w:tc>
        <w:tc>
          <w:tcPr/>
          <w:p>
            <w:pPr>
              <w:pStyle w:val="Compact"/>
            </w:pPr>
            <w:r>
              <w:t xml:space="preserve">Stable IDs, inputs, outputs, semantics and failure codes</w:t>
            </w:r>
          </w:p>
        </w:tc>
        <w:tc>
          <w:tcPr/>
          <w:p>
            <w:pPr>
              <w:pStyle w:val="Compact"/>
            </w:pPr>
            <w:r>
              <w:t xml:space="preserve">contract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L3 Dependency safety</w:t>
            </w:r>
          </w:p>
        </w:tc>
        <w:tc>
          <w:tcPr/>
          <w:p>
            <w:pPr>
              <w:pStyle w:val="Compact"/>
            </w:pPr>
            <w:r>
              <w:t xml:space="preserve">DB/provider/history failures never become clean results</w:t>
            </w:r>
          </w:p>
        </w:tc>
        <w:tc>
          <w:tcPr/>
          <w:p>
            <w:pPr>
              <w:pStyle w:val="Compact"/>
            </w:pPr>
            <w:r>
              <w:t xml:space="preserve">failure-injection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L4 Runtime</w:t>
            </w:r>
          </w:p>
        </w:tc>
        <w:tc>
          <w:tcPr/>
          <w:p>
            <w:pPr>
              <w:pStyle w:val="Compact"/>
            </w:pPr>
            <w:r>
              <w:t xml:space="preserve">AML findings enter the canonical Decision Runtime</w:t>
            </w:r>
          </w:p>
        </w:tc>
        <w:tc>
          <w:tcPr/>
          <w:p>
            <w:pPr>
              <w:pStyle w:val="Compact"/>
            </w:pPr>
            <w:r>
              <w:t xml:space="preserve">API/integration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L5 Evidence</w:t>
            </w:r>
          </w:p>
        </w:tc>
        <w:tc>
          <w:tcPr/>
          <w:p>
            <w:pPr>
              <w:pStyle w:val="Compact"/>
            </w:pPr>
            <w:r>
              <w:t xml:space="preserve">Every finding is explainable and attributable</w:t>
            </w:r>
          </w:p>
        </w:tc>
        <w:tc>
          <w:tcPr/>
          <w:p>
            <w:pPr>
              <w:pStyle w:val="Compact"/>
            </w:pPr>
            <w:r>
              <w:t xml:space="preserve">evidence schema + lineage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L6 Audit</w:t>
            </w:r>
          </w:p>
        </w:tc>
        <w:tc>
          <w:tcPr/>
          <w:p>
            <w:pPr>
              <w:pStyle w:val="Compact"/>
            </w:pPr>
            <w:r>
              <w:t xml:space="preserve">Decision lifecycle is reconstructible and integrity-protected</w:t>
            </w:r>
          </w:p>
        </w:tc>
        <w:tc>
          <w:tcPr/>
          <w:p>
            <w:pPr>
              <w:pStyle w:val="Compact"/>
            </w:pPr>
            <w:r>
              <w:t xml:space="preserve">audit-chain proof</w:t>
            </w:r>
          </w:p>
        </w:tc>
      </w:tr>
      <w:tr>
        <w:tc>
          <w:tcPr/>
          <w:p>
            <w:pPr>
              <w:pStyle w:val="Compact"/>
            </w:pPr>
            <w:r>
              <w:t xml:space="preserve">L7 Isolation</w:t>
            </w:r>
          </w:p>
        </w:tc>
        <w:tc>
          <w:tcPr/>
          <w:p>
            <w:pPr>
              <w:pStyle w:val="Compact"/>
            </w:pPr>
            <w:r>
              <w:t xml:space="preserve">Tenant A cannot read/write Tenant B data</w:t>
            </w:r>
          </w:p>
        </w:tc>
        <w:tc>
          <w:tcPr/>
          <w:p>
            <w:pPr>
              <w:pStyle w:val="Compact"/>
            </w:pPr>
            <w:r>
              <w:t xml:space="preserve">RLS + cross-tenant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L8 Replay</w:t>
            </w:r>
          </w:p>
        </w:tc>
        <w:tc>
          <w:tcPr/>
          <w:p>
            <w:pPr>
              <w:pStyle w:val="Compact"/>
            </w:pPr>
            <w:r>
              <w:t xml:space="preserve">Same governed state produces the same result</w:t>
            </w:r>
          </w:p>
        </w:tc>
        <w:tc>
          <w:tcPr/>
          <w:p>
            <w:pPr>
              <w:pStyle w:val="Compact"/>
            </w:pPr>
            <w:r>
              <w:t xml:space="preserve">deterministic replay + idempotency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L9 Operations</w:t>
            </w:r>
          </w:p>
        </w:tc>
        <w:tc>
          <w:tcPr/>
          <w:p>
            <w:pPr>
              <w:pStyle w:val="Compact"/>
            </w:pPr>
            <w:r>
              <w:t xml:space="preserve">Performance, resilience, backup/recovery and release evidence</w:t>
            </w:r>
          </w:p>
        </w:tc>
        <w:tc>
          <w:tcPr/>
          <w:p>
            <w:pPr>
              <w:pStyle w:val="Compact"/>
            </w:pPr>
            <w:r>
              <w:t xml:space="preserve">measured assurance artifacts</w:t>
            </w:r>
          </w:p>
        </w:tc>
      </w:tr>
    </w:tbl>
    <w:p>
      <w:pPr>
        <w:pStyle w:val="FirstParagraph"/>
      </w:pPr>
      <w:r>
        <w:t xml:space="preserve">A green unit test is therefore necessary but never sufficient for production-bank readiness.</w:t>
      </w:r>
    </w:p>
    <w:p>
      <w:pPr>
        <w:pStyle w:val="Heading2"/>
      </w:pPr>
      <w:bookmarkStart w:id="12" w:name="_e9a965b54b859626ba64dc39b8950114e286783"/>
      <w:r>
        <w:t xml:space="preserve">3. Test categories</w:t>
      </w:r>
    </w:p>
    <w:p>
      <w:pPr>
        <w:pStyle w:val="Heading3"/>
      </w:pPr>
      <w:bookmarkStart w:id="13" w:name="_cd27df378f18531c0f8df244ba4762bb868b197"/>
      <w:r>
        <w:t xml:space="preserve">3.1 Positive tests</w:t>
      </w:r>
    </w:p>
    <w:p>
      <w:pPr>
        <w:pStyle w:val="FirstParagraph"/>
      </w:pPr>
      <w:r>
        <w:t xml:space="preserve">Prove every intended match path.</w:t>
      </w:r>
    </w:p>
    <w:p>
      <w:pPr>
        <w:pStyle w:val="BodyText"/>
      </w:pPr>
      <w:r>
        <w:t xml:space="preserve">Examples: large amount above threshold; high-risk geography; structuring with qualifying historical activity; approved ML artifact producing an anomaly.</w:t>
      </w:r>
    </w:p>
    <w:p>
      <w:pPr>
        <w:pStyle w:val="Heading3"/>
      </w:pPr>
      <w:bookmarkStart w:id="14" w:name="_7cca720447d9ebf0dc3a58fb8412145866d36c2"/>
      <w:r>
        <w:t xml:space="preserve">3.2 Negative tests</w:t>
      </w:r>
    </w:p>
    <w:p>
      <w:pPr>
        <w:pStyle w:val="FirstParagraph"/>
      </w:pPr>
      <w:r>
        <w:t xml:space="preserve">Prove that ordinary activity is not falsely promoted by the tested rule.</w:t>
      </w:r>
    </w:p>
    <w:p>
      <w:pPr>
        <w:pStyle w:val="BodyText"/>
      </w:pPr>
      <w:r>
        <w:t xml:space="preserve">Examples: below-threshold amount; low-risk country; insufficient structuring history; normal ML prediction.</w:t>
      </w:r>
    </w:p>
    <w:p>
      <w:pPr>
        <w:pStyle w:val="Heading3"/>
      </w:pPr>
      <w:bookmarkStart w:id="15" w:name="_7a041659313774f60bd7312420585b8bd26e547"/>
      <w:r>
        <w:t xml:space="preserve">3.3 Boundary tests</w:t>
      </w:r>
    </w:p>
    <w:p>
      <w:pPr>
        <w:pStyle w:val="FirstParagraph"/>
      </w:pPr>
      <w:r>
        <w:t xml:space="preserve">Prove exact threshold semantics.</w:t>
      </w:r>
    </w:p>
    <w:p>
      <w:pPr>
        <w:pStyle w:val="BodyText"/>
      </w:pPr>
      <w:r>
        <w:t xml:space="preserve">Each threshold must cover: just below; exact boundary; just above; invalid/malformed input; normalization variants.</w:t>
      </w:r>
    </w:p>
    <w:p>
      <w:pPr>
        <w:pStyle w:val="Heading3"/>
      </w:pPr>
      <w:bookmarkStart w:id="16" w:name="_8e4d9448eb6692d591db985641cd62f7811f195"/>
      <w:r>
        <w:t xml:space="preserve">3.4 Dependency-failure tests</w:t>
      </w:r>
    </w:p>
    <w:p>
      <w:pPr>
        <w:pStyle w:val="FirstParagraph"/>
      </w:pPr>
      <w:r>
        <w:t xml:space="preserve">A missing, timed-out, unavailable or malformed dependency must not be interpreted as a clean AML result.</w:t>
      </w:r>
    </w:p>
    <w:p>
      <w:pPr>
        <w:pStyle w:val="BodyText"/>
      </w:pPr>
      <w:r>
        <w:t xml:space="preserve">Expected pattern:</w:t>
      </w:r>
    </w:p>
    <w:p>
      <w:pPr>
        <w:pStyle w:val="BodyText"/>
      </w:pPr>
      <w:r>
        <w:t xml:space="preserve">dependency failure → explicit error / absent semantic state → policy-controlled runtime action</w:t>
      </w:r>
    </w:p>
    <w:p>
      <w:pPr>
        <w:pStyle w:val="Heading3"/>
      </w:pPr>
      <w:bookmarkStart w:id="17" w:name="_c2e31ead8a5c73680c6a95694292398a6994b4f"/>
      <w:r>
        <w:t xml:space="preserve">3.5 Replay tests</w:t>
      </w:r>
    </w:p>
    <w:p>
      <w:pPr>
        <w:pStyle w:val="FirstParagraph"/>
      </w:pPr>
      <w:r>
        <w:t xml:space="preserve">Replay must preserve governed decision semantics.</w:t>
      </w:r>
    </w:p>
    <w:p>
      <w:pPr>
        <w:pStyle w:val="BodyText"/>
      </w:pPr>
      <w:r>
        <w:t xml:space="preserve">Minimum: same tenant + same transaction identity → idempotent replay; same inputs + same rule/policy state → same AML findings; changed governed version → explicit version difference, not silent drift.</w:t>
      </w:r>
    </w:p>
    <w:p>
      <w:pPr>
        <w:pStyle w:val="Heading3"/>
      </w:pPr>
      <w:bookmarkStart w:id="18" w:name="_64057b51f340bd1b2de291931db4898d0a27ada"/>
      <w:r>
        <w:t xml:space="preserve">3.6 Isolation tests</w:t>
      </w:r>
    </w:p>
    <w:p>
      <w:pPr>
        <w:pStyle w:val="FirstParagraph"/>
      </w:pPr>
      <w:r>
        <w:t xml:space="preserve">Every AML persistence/query path is tenant-scoped.</w:t>
      </w:r>
    </w:p>
    <w:p>
      <w:pPr>
        <w:pStyle w:val="BodyText"/>
      </w:pPr>
      <w:r>
        <w:t xml:space="preserve">Minimum: cross-tenant read denied; cross-tenant write denied; missing tenant context fails closed; historical AML queries cannot broaden to platform-wide data.</w:t>
      </w:r>
    </w:p>
    <w:p>
      <w:pPr>
        <w:pStyle w:val="Heading3"/>
      </w:pPr>
      <w:bookmarkStart w:id="19" w:name="_fb42a3ada61f87b6e3c6f05ba12719d4de18a1d"/>
      <w:r>
        <w:t xml:space="preserve">3.7 Evidence/audit tests</w:t>
      </w:r>
    </w:p>
    <w:p>
      <w:pPr>
        <w:pStyle w:val="FirstParagraph"/>
      </w:pPr>
      <w:r>
        <w:t xml:space="preserve">A triggered AML finding must retain the canonical rule/scenario ID, version when versioned, contributing value/metadata, evidence source, decision/runtime identity, and audit lineage.</w:t>
      </w:r>
    </w:p>
    <w:p>
      <w:pPr>
        <w:pStyle w:val="BodyText"/>
      </w:pPr>
      <w:r>
        <w:t xml:space="preserve">Audit failure on a controlled decision path must not silently disappear.</w:t>
      </w:r>
    </w:p>
    <w:p>
      <w:pPr>
        <w:pStyle w:val="Heading2"/>
      </w:pPr>
      <w:bookmarkStart w:id="20" w:name="_bd78f68bd55f285e931cf03282e904b97ce00b2"/>
      <w:r>
        <w:t xml:space="preserve">4. Acceptance criteria for an active scenario</w:t>
      </w:r>
    </w:p>
    <w:p>
      <w:pPr>
        <w:pStyle w:val="FirstParagraph"/>
      </w:pPr>
      <w:r>
        <w:t xml:space="preserve">A scenario may be labeled</w:t>
      </w:r>
      <w:r>
        <w:t xml:space="preserve"> </w:t>
      </w:r>
      <w:r>
        <w:rPr>
          <w:b/>
          <w:bCs/>
        </w:rPr>
        <w:t xml:space="preserve">ACTIVE</w:t>
      </w:r>
      <w:r>
        <w:t xml:space="preserve"> </w:t>
      </w:r>
      <w:r>
        <w:t xml:space="preserve">only when all are green:</w:t>
      </w:r>
    </w:p>
    <w:p>
      <w:pPr>
        <w:pStyle w:val="Compact"/>
        <w:numPr>
          <w:ilvl w:val="0"/>
          <w:numId w:val="1001"/>
        </w:numPr>
      </w:pPr>
      <w:r>
        <w:t xml:space="preserve">canonical owner is identified;</w:t>
      </w:r>
    </w:p>
    <w:p>
      <w:pPr>
        <w:pStyle w:val="Compact"/>
        <w:numPr>
          <w:ilvl w:val="0"/>
          <w:numId w:val="1001"/>
        </w:numPr>
      </w:pPr>
      <w:r>
        <w:t xml:space="preserve">positive tests pass;</w:t>
      </w:r>
    </w:p>
    <w:p>
      <w:pPr>
        <w:pStyle w:val="Compact"/>
        <w:numPr>
          <w:ilvl w:val="0"/>
          <w:numId w:val="1001"/>
        </w:numPr>
      </w:pPr>
      <w:r>
        <w:t xml:space="preserve">negative tests pass;</w:t>
      </w:r>
    </w:p>
    <w:p>
      <w:pPr>
        <w:pStyle w:val="Compact"/>
        <w:numPr>
          <w:ilvl w:val="0"/>
          <w:numId w:val="1001"/>
        </w:numPr>
      </w:pPr>
      <w:r>
        <w:t xml:space="preserve">boundary tests pass;</w:t>
      </w:r>
    </w:p>
    <w:p>
      <w:pPr>
        <w:pStyle w:val="Compact"/>
        <w:numPr>
          <w:ilvl w:val="0"/>
          <w:numId w:val="1001"/>
        </w:numPr>
      </w:pPr>
      <w:r>
        <w:t xml:space="preserve">input contract is defined;</w:t>
      </w:r>
    </w:p>
    <w:p>
      <w:pPr>
        <w:pStyle w:val="Compact"/>
        <w:numPr>
          <w:ilvl w:val="0"/>
          <w:numId w:val="1001"/>
        </w:numPr>
      </w:pPr>
      <w:r>
        <w:t xml:space="preserve">failure semantics are defined;</w:t>
      </w:r>
    </w:p>
    <w:p>
      <w:pPr>
        <w:pStyle w:val="Compact"/>
        <w:numPr>
          <w:ilvl w:val="0"/>
          <w:numId w:val="1001"/>
        </w:numPr>
      </w:pPr>
      <w:r>
        <w:t xml:space="preserve">evidence shape is defined;</w:t>
      </w:r>
    </w:p>
    <w:p>
      <w:pPr>
        <w:pStyle w:val="Compact"/>
        <w:numPr>
          <w:ilvl w:val="0"/>
          <w:numId w:val="1001"/>
        </w:numPr>
      </w:pPr>
      <w:r>
        <w:t xml:space="preserve">tenant isolation is proven;</w:t>
      </w:r>
    </w:p>
    <w:p>
      <w:pPr>
        <w:pStyle w:val="Compact"/>
        <w:numPr>
          <w:ilvl w:val="0"/>
          <w:numId w:val="1001"/>
        </w:numPr>
      </w:pPr>
      <w:r>
        <w:t xml:space="preserve">replay is proven;</w:t>
      </w:r>
    </w:p>
    <w:p>
      <w:pPr>
        <w:pStyle w:val="Compact"/>
        <w:numPr>
          <w:ilvl w:val="0"/>
          <w:numId w:val="1001"/>
        </w:numPr>
      </w:pPr>
      <w:r>
        <w:t xml:space="preserve">E2E path is proven;</w:t>
      </w:r>
    </w:p>
    <w:p>
      <w:pPr>
        <w:pStyle w:val="Compact"/>
        <w:numPr>
          <w:ilvl w:val="0"/>
          <w:numId w:val="1001"/>
        </w:numPr>
      </w:pPr>
      <w:r>
        <w:t xml:space="preserve">audit lineage is proven;</w:t>
      </w:r>
    </w:p>
    <w:p>
      <w:pPr>
        <w:pStyle w:val="Compact"/>
        <w:numPr>
          <w:ilvl w:val="0"/>
          <w:numId w:val="1001"/>
        </w:numPr>
      </w:pPr>
      <w:r>
        <w:t xml:space="preserve">regulatory/control mapping is documented;</w:t>
      </w:r>
    </w:p>
    <w:p>
      <w:pPr>
        <w:pStyle w:val="Compact"/>
        <w:numPr>
          <w:ilvl w:val="0"/>
          <w:numId w:val="1001"/>
        </w:numPr>
      </w:pPr>
      <w:r>
        <w:t xml:space="preserve">version semantics are reproducible;</w:t>
      </w:r>
    </w:p>
    <w:p>
      <w:pPr>
        <w:pStyle w:val="Compact"/>
        <w:numPr>
          <w:ilvl w:val="0"/>
          <w:numId w:val="1001"/>
        </w:numPr>
      </w:pPr>
      <w:r>
        <w:t xml:space="preserve">required source data is demonstrably available.</w:t>
      </w:r>
    </w:p>
    <w:p>
      <w:pPr>
        <w:pStyle w:val="FirstParagraph"/>
      </w:pPr>
      <w:r>
        <w:t xml:space="preserve">Missing item =</w:t>
      </w:r>
      <w:r>
        <w:t xml:space="preserve"> </w:t>
      </w:r>
      <w:r>
        <w:rPr>
          <w:b/>
          <w:bCs/>
        </w:rPr>
        <w:t xml:space="preserve">PARTIAL / DEFERRED</w:t>
      </w:r>
      <w:r>
        <w:t xml:space="preserve">, not ACTIVE.</w:t>
      </w:r>
    </w:p>
    <w:p>
      <w:pPr>
        <w:pStyle w:val="Heading2"/>
      </w:pPr>
      <w:bookmarkStart w:id="21" w:name="_b93e153d91ae9a57321b9b1133c610699eb96b1"/>
      <w:r>
        <w:t xml:space="preserve">5. Environment tiers</w:t>
      </w:r>
    </w:p>
    <w:p>
      <w:pPr>
        <w:pStyle w:val="Heading3"/>
      </w:pPr>
      <w:bookmarkStart w:id="22" w:name="_d216d8363274943131937d4ee4ba58cd87acfca"/>
      <w:r>
        <w:t xml:space="preserve">Tier A — Developer</w:t>
      </w:r>
    </w:p>
    <w:p>
      <w:pPr>
        <w:pStyle w:val="FirstParagraph"/>
      </w:pPr>
      <w:r>
        <w:t xml:space="preserve">Unit and contract feedback only. Not sufficient for closure.</w:t>
      </w:r>
    </w:p>
    <w:p>
      <w:pPr>
        <w:pStyle w:val="Heading3"/>
      </w:pPr>
      <w:bookmarkStart w:id="23" w:name="_9538b875737fef02efdce7afd44248fcba25436"/>
      <w:r>
        <w:t xml:space="preserve">Tier B — Integration Assurance</w:t>
      </w:r>
    </w:p>
    <w:p>
      <w:pPr>
        <w:pStyle w:val="FirstParagraph"/>
      </w:pPr>
      <w:r>
        <w:t xml:space="preserve">PostgreSQL, tenant context, real repository/infrastructure boundary, audit persistence, and transaction/idempotency behavior.</w:t>
      </w:r>
    </w:p>
    <w:p>
      <w:pPr>
        <w:pStyle w:val="Heading3"/>
      </w:pPr>
      <w:bookmarkStart w:id="24" w:name="_e130746ca3d8b396baf86c596cb4dce2b409069"/>
      <w:r>
        <w:t xml:space="preserve">Tier C — Clean Assurance Environment</w:t>
      </w:r>
    </w:p>
    <w:p>
      <w:pPr>
        <w:pStyle w:val="FirstParagraph"/>
      </w:pPr>
      <w:r>
        <w:t xml:space="preserve">Clean checkout at the exact commit; fresh database; isolated test tenants; known configuration fingerprint; fixed test-data fingerprint; no inherited developer state.</w:t>
      </w:r>
    </w:p>
    <w:p>
      <w:pPr>
        <w:pStyle w:val="Heading3"/>
      </w:pPr>
      <w:bookmarkStart w:id="25" w:name="_93e163a110efe7473f00dc06367b560db01b83a"/>
      <w:r>
        <w:t xml:space="preserve">Tier D — Bank Target / Pilot Environment</w:t>
      </w:r>
    </w:p>
    <w:p>
      <w:pPr>
        <w:pStyle w:val="FirstParagraph"/>
      </w:pPr>
      <w:r>
        <w:t xml:space="preserve">Before production claims: approved network/configuration controls; actual integration paths; observability; backup/recovery evidence; security testing; approved operational procedures; independent review where required.</w:t>
      </w:r>
    </w:p>
    <w:p>
      <w:pPr>
        <w:pStyle w:val="Heading2"/>
      </w:pPr>
      <w:bookmarkStart w:id="26" w:name="_8ad3109678264ddb491fe776ce83cb40208ac5e"/>
      <w:r>
        <w:t xml:space="preserve">6. Evidence package</w:t>
      </w:r>
    </w:p>
    <w:p>
      <w:pPr>
        <w:pStyle w:val="FirstParagraph"/>
      </w:pPr>
      <w:r>
        <w:t xml:space="preserve">Capture for every assurance execution:</w:t>
      </w:r>
    </w:p>
    <w:p>
      <w:pPr>
        <w:pStyle w:val="Compact"/>
        <w:numPr>
          <w:ilvl w:val="0"/>
          <w:numId w:val="1002"/>
        </w:numPr>
      </w:pPr>
      <w:r>
        <w:t xml:space="preserve">commit SHA</w:t>
      </w:r>
    </w:p>
    <w:p>
      <w:pPr>
        <w:pStyle w:val="Compact"/>
        <w:numPr>
          <w:ilvl w:val="0"/>
          <w:numId w:val="1002"/>
        </w:numPr>
      </w:pPr>
      <w:r>
        <w:t xml:space="preserve">environment fingerprint</w:t>
      </w:r>
    </w:p>
    <w:p>
      <w:pPr>
        <w:pStyle w:val="Compact"/>
        <w:numPr>
          <w:ilvl w:val="0"/>
          <w:numId w:val="1002"/>
        </w:numPr>
      </w:pPr>
      <w:r>
        <w:t xml:space="preserve">Python/runtime versions</w:t>
      </w:r>
    </w:p>
    <w:p>
      <w:pPr>
        <w:pStyle w:val="Compact"/>
        <w:numPr>
          <w:ilvl w:val="0"/>
          <w:numId w:val="1002"/>
        </w:numPr>
      </w:pPr>
      <w:r>
        <w:t xml:space="preserve">dependency lock fingerprint</w:t>
      </w:r>
    </w:p>
    <w:p>
      <w:pPr>
        <w:pStyle w:val="Compact"/>
        <w:numPr>
          <w:ilvl w:val="0"/>
          <w:numId w:val="1002"/>
        </w:numPr>
      </w:pPr>
      <w:r>
        <w:t xml:space="preserve">database/schema fingerprint</w:t>
      </w:r>
    </w:p>
    <w:p>
      <w:pPr>
        <w:pStyle w:val="Compact"/>
        <w:numPr>
          <w:ilvl w:val="0"/>
          <w:numId w:val="1002"/>
        </w:numPr>
      </w:pPr>
      <w:r>
        <w:t xml:space="preserve">exact test command</w:t>
      </w:r>
    </w:p>
    <w:p>
      <w:pPr>
        <w:pStyle w:val="Compact"/>
        <w:numPr>
          <w:ilvl w:val="0"/>
          <w:numId w:val="1002"/>
        </w:numPr>
      </w:pPr>
      <w:r>
        <w:t xml:space="preserve">test result</w:t>
      </w:r>
    </w:p>
    <w:p>
      <w:pPr>
        <w:pStyle w:val="Compact"/>
        <w:numPr>
          <w:ilvl w:val="0"/>
          <w:numId w:val="1002"/>
        </w:numPr>
      </w:pPr>
      <w:r>
        <w:t xml:space="preserve">JUnit XML</w:t>
      </w:r>
    </w:p>
    <w:p>
      <w:pPr>
        <w:pStyle w:val="Compact"/>
        <w:numPr>
          <w:ilvl w:val="0"/>
          <w:numId w:val="1002"/>
        </w:numPr>
      </w:pPr>
      <w:r>
        <w:t xml:space="preserve">coverage report</w:t>
      </w:r>
    </w:p>
    <w:p>
      <w:pPr>
        <w:pStyle w:val="Compact"/>
        <w:numPr>
          <w:ilvl w:val="0"/>
          <w:numId w:val="1002"/>
        </w:numPr>
      </w:pPr>
      <w:r>
        <w:t xml:space="preserve">test-data hash</w:t>
      </w:r>
    </w:p>
    <w:p>
      <w:pPr>
        <w:pStyle w:val="Compact"/>
        <w:numPr>
          <w:ilvl w:val="0"/>
          <w:numId w:val="1002"/>
        </w:numPr>
      </w:pPr>
      <w:r>
        <w:t xml:space="preserve">execution timestamp</w:t>
      </w:r>
    </w:p>
    <w:p>
      <w:pPr>
        <w:pStyle w:val="Compact"/>
        <w:numPr>
          <w:ilvl w:val="0"/>
          <w:numId w:val="1002"/>
        </w:numPr>
      </w:pPr>
      <w:r>
        <w:t xml:space="preserve">failure list</w:t>
      </w:r>
    </w:p>
    <w:p>
      <w:pPr>
        <w:pStyle w:val="Compact"/>
        <w:numPr>
          <w:ilvl w:val="0"/>
          <w:numId w:val="1002"/>
        </w:numPr>
      </w:pPr>
      <w:r>
        <w:t xml:space="preserve">review/approval reference</w:t>
      </w:r>
    </w:p>
    <w:p>
      <w:pPr>
        <w:pStyle w:val="FirstParagraph"/>
      </w:pPr>
      <w:r>
        <w:t xml:space="preserve">The repository’s existing Code Gate Test Plan requires manual on-demand execution, failure injection, security, isolation, replay, performance and immutable evidence handling. This standard is the AML-specific operationalization of those principles.</w:t>
      </w:r>
    </w:p>
    <w:p>
      <w:pPr>
        <w:pStyle w:val="Heading2"/>
      </w:pPr>
      <w:bookmarkStart w:id="27" w:name="_2b881ba025f62689074a557a4ce7dcfd868fb44"/>
      <w:r>
        <w:t xml:space="preserve">7. Current AML assurance baseline</w:t>
      </w:r>
    </w:p>
    <w:p>
      <w:pPr>
        <w:pStyle w:val="FirstParagraph"/>
      </w:pPr>
      <w:r>
        <w:t xml:space="preserve">As of 2026-09-26:</w:t>
      </w:r>
    </w:p>
    <w:p>
      <w:pPr>
        <w:pStyle w:val="Compact"/>
        <w:numPr>
          <w:ilvl w:val="0"/>
          <w:numId w:val="1003"/>
        </w:numPr>
      </w:pPr>
      <w:r>
        <w:t xml:space="preserve">Canonical AML runtime:</w:t>
      </w:r>
      <w:r>
        <w:t xml:space="preserve"> </w:t>
      </w:r>
      <w:r>
        <w:rPr>
          <w:rStyle w:val="VerbatimChar"/>
        </w:rPr>
        <w:t xml:space="preserve">src/domains/aml/runtime/engine.py</w:t>
      </w:r>
      <w:r>
        <w:t xml:space="preserve"> </w:t>
      </w:r>
      <w:r>
        <w:t xml:space="preserve">v10.0.2.</w:t>
      </w:r>
    </w:p>
    <w:p>
      <w:pPr>
        <w:pStyle w:val="Compact"/>
        <w:numPr>
          <w:ilvl w:val="0"/>
          <w:numId w:val="1003"/>
        </w:numPr>
      </w:pPr>
      <w:r>
        <w:t xml:space="preserve">Current canonical static rules: large amount, high-risk country, structuring.</w:t>
      </w:r>
    </w:p>
    <w:p>
      <w:pPr>
        <w:pStyle w:val="Compact"/>
        <w:numPr>
          <w:ilvl w:val="0"/>
          <w:numId w:val="1003"/>
        </w:numPr>
      </w:pPr>
      <w:r>
        <w:t xml:space="preserve">ML anomaly: provider-gated; no runtime training or fallback model.</w:t>
      </w:r>
    </w:p>
    <w:p>
      <w:pPr>
        <w:pStyle w:val="Compact"/>
        <w:numPr>
          <w:ilvl w:val="0"/>
          <w:numId w:val="1003"/>
        </w:numPr>
      </w:pPr>
      <w:r>
        <w:t xml:space="preserve">Gate 4B targeted suite: 14 passed in the local validation executed on the merged SURG-02R branch.</w:t>
      </w:r>
    </w:p>
    <w:p>
      <w:pPr>
        <w:pStyle w:val="Compact"/>
        <w:numPr>
          <w:ilvl w:val="0"/>
          <w:numId w:val="1003"/>
        </w:numPr>
      </w:pPr>
      <w:r>
        <w:t xml:space="preserve">Full repository suite at that point: 576 passed, 7 skipped, 1 failed.</w:t>
      </w:r>
    </w:p>
    <w:p>
      <w:pPr>
        <w:pStyle w:val="Compact"/>
        <w:numPr>
          <w:ilvl w:val="0"/>
          <w:numId w:val="1003"/>
        </w:numPr>
      </w:pPr>
      <w:r>
        <w:t xml:space="preserve">The single failure was the pre-existing fail-closed Gate 8 image prerequisite:</w:t>
      </w:r>
      <w:r>
        <w:t xml:space="preserve"> </w:t>
      </w:r>
      <w:r>
        <w:rPr>
          <w:rStyle w:val="VerbatimChar"/>
        </w:rPr>
        <w:t xml:space="preserve">HISN_GATE8_IMAGE</w:t>
      </w:r>
      <w:r>
        <w:t xml:space="preserve"> </w:t>
      </w:r>
      <w:r>
        <w:t xml:space="preserve">was unset.</w:t>
      </w:r>
    </w:p>
    <w:p>
      <w:pPr>
        <w:pStyle w:val="FirstParagraph"/>
      </w:pPr>
      <w:r>
        <w:t xml:space="preserve">The Gate 8 failure is not an AML test failure and is deliberately tracked on the separate supply-chain track.</w:t>
      </w:r>
    </w:p>
    <w:p>
      <w:pPr>
        <w:pStyle w:val="Heading2"/>
      </w:pPr>
      <w:bookmarkStart w:id="28" w:name="_fd41a0157ca96b120c5520b958c520bbd63e65d"/>
      <w:r>
        <w:t xml:space="preserve">8. Bank-grade development rule</w:t>
      </w:r>
    </w:p>
    <w:p>
      <w:pPr>
        <w:pStyle w:val="FirstParagraph"/>
      </w:pPr>
      <w:r>
        <w:t xml:space="preserve">After AML foundation closure, scenarios are implemented one at a time.</w:t>
      </w:r>
    </w:p>
    <w:p>
      <w:pPr>
        <w:pStyle w:val="BodyText"/>
      </w:pPr>
      <w:r>
        <w:t xml:space="preserve">Scenario specification → regulatory/control mapping → input/data contract → canonical implementation → positive + negative + boundary tests → failure injection → tenant isolation → replay → E2E / evidence / audit → performance where applicable → merge</w:t>
      </w:r>
    </w:p>
    <w:p>
      <w:pPr>
        <w:pStyle w:val="BodyText"/>
      </w:pPr>
      <w:r>
        <w:t xml:space="preserve">No new AML engine is created per scenario.</w:t>
      </w:r>
    </w:p>
    <w:p>
      <w:pPr>
        <w:pStyle w:val="BodyText"/>
      </w:pPr>
      <w:r>
        <w:t xml:space="preserve">No scenario is promoted because it exists in an old repository branch.</w:t>
      </w:r>
    </w:p>
    <w:p>
      <w:pPr>
        <w:pStyle w:val="BodyText"/>
      </w:pPr>
      <w:r>
        <w:t xml:space="preserve">No marketing scenario count is treated as regulatory coverage.</w:t>
      </w:r>
    </w:p>
    <w:p>
      <w:pPr>
        <w:pStyle w:val="Heading2"/>
      </w:pPr>
      <w:bookmarkStart w:id="29" w:name="_6f4b2d566d6c0df48cdd34acf9623edd291b582"/>
      <w:r>
        <w:t xml:space="preserve">9. SAMA source references</w:t>
      </w:r>
    </w:p>
    <w:p>
      <w:pPr>
        <w:pStyle w:val="Compact"/>
        <w:numPr>
          <w:ilvl w:val="0"/>
          <w:numId w:val="1004"/>
        </w:numPr>
      </w:pPr>
      <w:r>
        <w:t xml:space="preserve">SAMA Rulebook — Section 7: Monitoring of Transactions and Activities.</w:t>
      </w:r>
    </w:p>
    <w:p>
      <w:pPr>
        <w:pStyle w:val="Compact"/>
        <w:numPr>
          <w:ilvl w:val="0"/>
          <w:numId w:val="1004"/>
        </w:numPr>
      </w:pPr>
      <w:r>
        <w:t xml:space="preserve">SAMA Rulebook — Chapter IX: AML/CTF Guide.</w:t>
      </w:r>
    </w:p>
    <w:p>
      <w:pPr>
        <w:pStyle w:val="Compact"/>
        <w:numPr>
          <w:ilvl w:val="0"/>
          <w:numId w:val="1004"/>
        </w:numPr>
      </w:pPr>
      <w:r>
        <w:t xml:space="preserve">SAMA Rulebook — On-Going Monitoring of Accounts and Transactions.</w:t>
      </w:r>
    </w:p>
    <w:p>
      <w:pPr>
        <w:pStyle w:val="Compact"/>
        <w:numPr>
          <w:ilvl w:val="0"/>
          <w:numId w:val="1004"/>
        </w:numPr>
      </w:pPr>
      <w:r>
        <w:t xml:space="preserve">SAMA Cyber Security Framework — Application Security and Vulnerability Management.</w:t>
      </w:r>
    </w:p>
    <w:p>
      <w:pPr>
        <w:pStyle w:val="FirstParagraph"/>
      </w:pPr>
      <w:r>
        <w:rPr>
          <w:b/>
          <w:bCs/>
        </w:rPr>
        <w:t xml:space="preserve">Final principle:</w:t>
      </w:r>
      <w:r>
        <w:t xml:space="preserve"> </w:t>
      </w:r>
      <w:r>
        <w:t xml:space="preserve">bank-grade means</w:t>
      </w:r>
      <w:r>
        <w:t xml:space="preserve"> </w:t>
      </w:r>
      <w:r>
        <w:rPr>
          <w:b/>
          <w:bCs/>
        </w:rPr>
        <w:t xml:space="preserve">provable, reproducible, attributable and fail-closed where required</w:t>
      </w:r>
      <w:r>
        <w:t xml:space="preserve"> </w:t>
      </w:r>
      <w:r>
        <w:t xml:space="preserve">— not merely</w:t>
      </w:r>
      <w:r>
        <w:t xml:space="preserve"> </w:t>
      </w:r>
      <w:r>
        <w:t xml:space="preserve">“the tests are green.”</w:t>
      </w:r>
    </w:p>
    <w:p>
      <w:pPr>
        <w:pStyle w:val="Heading2"/>
      </w:pPr>
      <w:bookmarkStart w:id="30" w:name="_a1f96839e6fca9bcbfe9f3c25f21d0d511f7003"/>
      <w:r>
        <w:t xml:space="preserve">10. DATED ASSURANCE CLOSURE — 2026-09-26</w:t>
      </w:r>
    </w:p>
    <w:p>
      <w:pPr>
        <w:pStyle w:val="FirstParagraph"/>
      </w:pPr>
      <w:r>
        <w:t xml:space="preserve">The bank-grade AML assurance pack was executed through the canonical terminal assurance harness on clean disposable infrastructure before merge.</w:t>
      </w:r>
    </w:p>
    <w:p>
      <w:pPr>
        <w:pStyle w:val="Compact"/>
        <w:numPr>
          <w:ilvl w:val="0"/>
          <w:numId w:val="1005"/>
        </w:numPr>
      </w:pPr>
      <w:r>
        <w:t xml:space="preserve">Verified source commit:</w:t>
      </w:r>
      <w:r>
        <w:t xml:space="preserve"> </w:t>
      </w:r>
      <w:r>
        <w:rPr>
          <w:rStyle w:val="VerbatimChar"/>
        </w:rPr>
        <w:t xml:space="preserve">d2ae12ef06be751d3cbc94f22313f08c15847e63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Full regression:</w:t>
      </w:r>
      <w:r>
        <w:t xml:space="preserve"> </w:t>
      </w:r>
      <w:r>
        <w:rPr>
          <w:b/>
          <w:bCs/>
        </w:rPr>
        <w:t xml:space="preserve">605 passed, 0 skipped, 0 failed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Bank-grade AML focused suite:</w:t>
      </w:r>
      <w:r>
        <w:t xml:space="preserve"> </w:t>
      </w:r>
      <w:r>
        <w:rPr>
          <w:b/>
          <w:bCs/>
        </w:rPr>
        <w:t xml:space="preserve">35 passed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RLS tenant assurance:</w:t>
      </w:r>
      <w:r>
        <w:t xml:space="preserve"> </w:t>
      </w:r>
      <w:r>
        <w:rPr>
          <w:b/>
          <w:bCs/>
        </w:rPr>
        <w:t xml:space="preserve">6 passed</w:t>
      </w:r>
      <w:r>
        <w:t xml:space="preserve"> </w:t>
      </w:r>
      <w:r>
        <w:t xml:space="preserve">in the dedicated PostgreSQL proof set.</w:t>
      </w:r>
    </w:p>
    <w:p>
      <w:pPr>
        <w:pStyle w:val="Compact"/>
        <w:numPr>
          <w:ilvl w:val="0"/>
          <w:numId w:val="1005"/>
        </w:numPr>
      </w:pPr>
      <w:r>
        <w:t xml:space="preserve">Golden Path E2E:</w:t>
      </w:r>
      <w:r>
        <w:t xml:space="preserve"> </w:t>
      </w:r>
      <w:r>
        <w:rPr>
          <w:b/>
          <w:bCs/>
        </w:rPr>
        <w:t xml:space="preserve">4 passed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Gate 8 Trivy:</w:t>
      </w:r>
      <w:r>
        <w:t xml:space="preserve"> </w:t>
      </w:r>
      <w:r>
        <w:rPr>
          <w:b/>
          <w:bCs/>
        </w:rPr>
        <w:t xml:space="preserve">0 HIGH / 0 CRITICAL / PASS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Terminal Assurance:</w:t>
      </w:r>
      <w:r>
        <w:t xml:space="preserve"> </w:t>
      </w:r>
      <w:r>
        <w:rPr>
          <w:b/>
          <w:bCs/>
        </w:rPr>
        <w:t xml:space="preserve">PASS / exit 0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Evidence bundle:</w:t>
      </w:r>
      <w:r>
        <w:t xml:space="preserve"> </w:t>
      </w:r>
      <w:r>
        <w:rPr>
          <w:rStyle w:val="VerbatimChar"/>
        </w:rPr>
        <w:t xml:space="preserve">artifacts/assurance/terminal/20260926T162637Z</w:t>
      </w:r>
      <w:r>
        <w:t xml:space="preserve">.</w:t>
      </w:r>
    </w:p>
    <w:p>
      <w:pPr>
        <w:pStyle w:val="FirstParagraph"/>
      </w:pPr>
      <w:r>
        <w:t xml:space="preserve">This closes the local Tier C assurance tranche for the AML canonicalization work.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claim SAMA certification, production approval, or target-environment certification.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BANK GRADE AML ASSURANCE TEST STANDARD 2026-09-26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